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6"/>
          <w:szCs w:val="16"/>
        </w:rPr>
      </w:pPr>
    </w:p>
    <w:p w:rsidR="007C72EC" w:rsidRDefault="009E799D">
      <w:pPr>
        <w:keepNext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40" w:lineRule="auto"/>
        <w:ind w:hanging="2"/>
        <w:jc w:val="center"/>
        <w:rPr>
          <w:rFonts w:ascii="Century Gothic" w:eastAsia="Century Gothic" w:hAnsi="Century Gothic" w:cs="Century Gothic"/>
          <w:b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 xml:space="preserve">RELATÓRIO DE JULGAMENTO DE RECURSO ADMINISTRATIVO </w:t>
      </w:r>
    </w:p>
    <w:p w:rsidR="007C72EC" w:rsidRDefault="009E799D">
      <w:pPr>
        <w:keepNext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40" w:lineRule="auto"/>
        <w:ind w:hanging="2"/>
        <w:jc w:val="center"/>
        <w:rPr>
          <w:rFonts w:ascii="Century Gothic" w:eastAsia="Century Gothic" w:hAnsi="Century Gothic" w:cs="Century Gothic"/>
          <w:b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 xml:space="preserve">PREGÃO ELETRÔNICO N.º </w:t>
      </w:r>
      <w:proofErr w:type="gramStart"/>
      <w:r>
        <w:rPr>
          <w:rFonts w:ascii="Century Gothic" w:eastAsia="Century Gothic" w:hAnsi="Century Gothic" w:cs="Century Gothic"/>
          <w:b/>
          <w:color w:val="000000"/>
        </w:rPr>
        <w:t>0</w:t>
      </w:r>
      <w:r w:rsidR="00A61DD7">
        <w:rPr>
          <w:rFonts w:ascii="Century Gothic" w:eastAsia="Century Gothic" w:hAnsi="Century Gothic" w:cs="Century Gothic"/>
          <w:b/>
          <w:color w:val="000000"/>
        </w:rPr>
        <w:t>0</w:t>
      </w:r>
      <w:r w:rsidR="00CC26AF">
        <w:rPr>
          <w:rFonts w:ascii="Century Gothic" w:eastAsia="Century Gothic" w:hAnsi="Century Gothic" w:cs="Century Gothic"/>
          <w:b/>
          <w:color w:val="000000"/>
        </w:rPr>
        <w:t>94</w:t>
      </w:r>
      <w:r>
        <w:rPr>
          <w:rFonts w:ascii="Century Gothic" w:eastAsia="Century Gothic" w:hAnsi="Century Gothic" w:cs="Century Gothic"/>
          <w:b/>
          <w:color w:val="000000"/>
        </w:rPr>
        <w:t>.2023.</w:t>
      </w:r>
      <w:proofErr w:type="gramEnd"/>
      <w:r>
        <w:rPr>
          <w:rFonts w:ascii="Century Gothic" w:eastAsia="Century Gothic" w:hAnsi="Century Gothic" w:cs="Century Gothic"/>
          <w:b/>
          <w:color w:val="000000"/>
        </w:rPr>
        <w:t>CPL.PE.00</w:t>
      </w:r>
      <w:r w:rsidR="00CC26AF">
        <w:rPr>
          <w:rFonts w:ascii="Century Gothic" w:eastAsia="Century Gothic" w:hAnsi="Century Gothic" w:cs="Century Gothic"/>
          <w:b/>
          <w:color w:val="000000"/>
        </w:rPr>
        <w:t>60</w:t>
      </w:r>
      <w:r>
        <w:rPr>
          <w:rFonts w:ascii="Century Gothic" w:eastAsia="Century Gothic" w:hAnsi="Century Gothic" w:cs="Century Gothic"/>
          <w:b/>
          <w:color w:val="000000"/>
        </w:rPr>
        <w:t>.MPPE</w:t>
      </w:r>
    </w:p>
    <w:p w:rsidR="007C72EC" w:rsidRDefault="007C72EC" w:rsidP="00A61DD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</w:p>
    <w:p w:rsidR="00CC26AF" w:rsidRDefault="009E799D" w:rsidP="00CC26AF">
      <w:pPr>
        <w:pBdr>
          <w:top w:val="nil"/>
          <w:left w:val="nil"/>
          <w:bottom w:val="nil"/>
          <w:right w:val="nil"/>
          <w:between w:val="nil"/>
        </w:pBdr>
        <w:spacing w:before="280"/>
        <w:ind w:left="0" w:hanging="2"/>
        <w:jc w:val="both"/>
        <w:rPr>
          <w:rFonts w:asciiTheme="minorHAnsi" w:hAnsiTheme="minorHAnsi" w:cstheme="minorHAnsi"/>
        </w:rPr>
      </w:pPr>
      <w:r w:rsidRPr="00A61DD7">
        <w:rPr>
          <w:rFonts w:ascii="Century Gothic" w:eastAsia="Century Gothic" w:hAnsi="Century Gothic" w:cs="Century Gothic"/>
          <w:b/>
        </w:rPr>
        <w:t>OBJETO:</w:t>
      </w:r>
      <w:r w:rsidRPr="00A61DD7">
        <w:rPr>
          <w:rFonts w:ascii="Century Gothic" w:eastAsia="Century Gothic" w:hAnsi="Century Gothic" w:cs="Century Gothic"/>
        </w:rPr>
        <w:t xml:space="preserve"> </w:t>
      </w:r>
      <w:r w:rsidR="00CC26AF" w:rsidRPr="00CC26AF">
        <w:rPr>
          <w:rFonts w:ascii="Century Gothic" w:hAnsi="Century Gothic"/>
        </w:rPr>
        <w:t>Registro de preços, do tipo menor preço por lote, para ampliação da infraestrutura de backup de informações do MPPE, constantes na Seção 10 - Especificação do Objeto do Termo de Referência - Anexo I do edital.</w:t>
      </w:r>
    </w:p>
    <w:p w:rsidR="007C72EC" w:rsidRPr="00A61DD7" w:rsidRDefault="009E799D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</w:rPr>
      </w:pPr>
      <w:r w:rsidRPr="00A61DD7">
        <w:rPr>
          <w:rFonts w:ascii="Century Gothic" w:eastAsia="Century Gothic" w:hAnsi="Century Gothic" w:cs="Century Gothic"/>
          <w:b/>
        </w:rPr>
        <w:t>RECORRENTE:</w:t>
      </w:r>
      <w:r w:rsidRPr="00A61DD7">
        <w:rPr>
          <w:rFonts w:ascii="Century Gothic" w:eastAsia="Century Gothic" w:hAnsi="Century Gothic" w:cs="Century Gothic"/>
        </w:rPr>
        <w:t xml:space="preserve"> </w:t>
      </w:r>
      <w:r w:rsidR="00CC26AF" w:rsidRPr="00CC26AF">
        <w:rPr>
          <w:rFonts w:ascii="Century Gothic" w:eastAsia="Tahoma" w:hAnsi="Century Gothic" w:cs="Tahoma"/>
        </w:rPr>
        <w:t>PLUGNET COMÉRCIO E REPRESENTAÇÕES LTDA</w:t>
      </w:r>
    </w:p>
    <w:p w:rsidR="007C72EC" w:rsidRPr="00A61DD7" w:rsidRDefault="009E799D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40" w:lineRule="auto"/>
        <w:ind w:left="0" w:hanging="2"/>
        <w:jc w:val="both"/>
        <w:rPr>
          <w:rFonts w:ascii="Century Gothic" w:hAnsi="Century Gothic"/>
        </w:rPr>
      </w:pPr>
      <w:r w:rsidRPr="00A61DD7">
        <w:rPr>
          <w:rFonts w:ascii="Century Gothic" w:eastAsia="Century Gothic" w:hAnsi="Century Gothic" w:cs="Century Gothic"/>
          <w:b/>
        </w:rPr>
        <w:t>RECORRIDA:</w:t>
      </w:r>
      <w:r w:rsidRPr="00A61DD7">
        <w:rPr>
          <w:rFonts w:ascii="Century Gothic" w:eastAsia="Tahoma" w:hAnsi="Century Gothic" w:cs="Tahoma"/>
        </w:rPr>
        <w:t xml:space="preserve"> </w:t>
      </w:r>
      <w:r w:rsidR="00A61DD7" w:rsidRPr="00A61DD7">
        <w:rPr>
          <w:rFonts w:ascii="Century Gothic" w:eastAsia="Tahoma" w:hAnsi="Century Gothic" w:cs="Tahoma"/>
        </w:rPr>
        <w:t>COMISSÃO PERMANENTE DE LICITAÇÃO</w:t>
      </w:r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b/>
          <w:color w:val="000000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I.  DAS PRELIMINARES</w:t>
      </w: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color w:val="000000"/>
        </w:rPr>
        <w:t xml:space="preserve">Recurso Administrativo interposto tempestivamente pela empresa </w:t>
      </w:r>
      <w:r w:rsidR="00CC26AF" w:rsidRPr="00CC26AF">
        <w:rPr>
          <w:rFonts w:ascii="Century Gothic" w:eastAsia="Tahoma" w:hAnsi="Century Gothic" w:cs="Tahoma"/>
          <w:b/>
        </w:rPr>
        <w:t>PLUGNET COMÉRCIO E REPRESENTAÇÕES LTDA</w:t>
      </w:r>
      <w:r>
        <w:rPr>
          <w:rFonts w:ascii="Century Gothic" w:eastAsia="Century Gothic" w:hAnsi="Century Gothic" w:cs="Century Gothic"/>
          <w:color w:val="000000"/>
        </w:rPr>
        <w:t xml:space="preserve">, pessoa jurídica de direito privado, regularmente inscrita no CNPJ sob o n° </w:t>
      </w:r>
      <w:r w:rsidR="00CC26AF" w:rsidRPr="00CC26AF">
        <w:rPr>
          <w:rFonts w:ascii="Century Gothic" w:eastAsia="Century Gothic" w:hAnsi="Century Gothic" w:cs="Century Gothic"/>
          <w:color w:val="000000"/>
        </w:rPr>
        <w:t>02.213.325/0001-88</w:t>
      </w:r>
      <w:r>
        <w:rPr>
          <w:rFonts w:ascii="Century Gothic" w:eastAsia="Century Gothic" w:hAnsi="Century Gothic" w:cs="Century Gothic"/>
          <w:color w:val="000000"/>
        </w:rPr>
        <w:t xml:space="preserve">, situada na </w:t>
      </w:r>
      <w:r w:rsidR="00CC26AF">
        <w:rPr>
          <w:rFonts w:ascii="Century Gothic" w:eastAsia="Century Gothic" w:hAnsi="Century Gothic" w:cs="Century Gothic"/>
          <w:color w:val="000000"/>
        </w:rPr>
        <w:t xml:space="preserve">Rod. Governador Mário Covas, s/n – km 279 </w:t>
      </w:r>
      <w:proofErr w:type="spellStart"/>
      <w:r w:rsidR="00CC26AF">
        <w:rPr>
          <w:rFonts w:ascii="Century Gothic" w:eastAsia="Century Gothic" w:hAnsi="Century Gothic" w:cs="Century Gothic"/>
          <w:color w:val="000000"/>
        </w:rPr>
        <w:t>Sl</w:t>
      </w:r>
      <w:proofErr w:type="spellEnd"/>
      <w:r w:rsidR="00CC26AF">
        <w:rPr>
          <w:rFonts w:ascii="Century Gothic" w:eastAsia="Century Gothic" w:hAnsi="Century Gothic" w:cs="Century Gothic"/>
          <w:color w:val="000000"/>
        </w:rPr>
        <w:t xml:space="preserve"> 89 – Bairro </w:t>
      </w:r>
      <w:proofErr w:type="spellStart"/>
      <w:r w:rsidR="00CC26AF">
        <w:rPr>
          <w:rFonts w:ascii="Century Gothic" w:eastAsia="Century Gothic" w:hAnsi="Century Gothic" w:cs="Century Gothic"/>
          <w:color w:val="000000"/>
        </w:rPr>
        <w:t>Jacuhy</w:t>
      </w:r>
      <w:proofErr w:type="spellEnd"/>
      <w:r w:rsidR="00CC26AF">
        <w:rPr>
          <w:rFonts w:ascii="Century Gothic" w:eastAsia="Century Gothic" w:hAnsi="Century Gothic" w:cs="Century Gothic"/>
          <w:color w:val="000000"/>
        </w:rPr>
        <w:t>, Serra-ES, CEP: 29.161-230</w:t>
      </w:r>
      <w:r>
        <w:rPr>
          <w:rFonts w:ascii="Century Gothic" w:eastAsia="Century Gothic" w:hAnsi="Century Gothic" w:cs="Century Gothic"/>
          <w:color w:val="000000"/>
        </w:rPr>
        <w:t xml:space="preserve">, doravante denominada apenas RECORRENTE, contra </w:t>
      </w:r>
      <w:r w:rsidR="00DB0D28">
        <w:rPr>
          <w:rFonts w:ascii="Century Gothic" w:eastAsia="Century Gothic" w:hAnsi="Century Gothic" w:cs="Century Gothic"/>
          <w:color w:val="000000"/>
        </w:rPr>
        <w:t>a sua desclassificação no certame</w:t>
      </w:r>
      <w:r>
        <w:rPr>
          <w:rFonts w:ascii="Century Gothic" w:eastAsia="Century Gothic" w:hAnsi="Century Gothic" w:cs="Century Gothic"/>
          <w:color w:val="000000"/>
        </w:rPr>
        <w:t>.</w:t>
      </w:r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II.  DAS FORMALIDADES</w:t>
      </w: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color w:val="000000"/>
        </w:rPr>
        <w:t xml:space="preserve">Cumpridas as formalidades legais, registre-se que foram cientificados todos os demais licitantes da existência e trâmite do epigrafado RECURSO ADMINISTRATIVO interposto, conforme comprovam os documentos acostados ao Processo Licitatório retro identificado. </w:t>
      </w:r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Century Gothic" w:eastAsia="Century Gothic" w:hAnsi="Century Gothic" w:cs="Century Gothic"/>
          <w:color w:val="000000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III. DAS RAZÕES DO RECURSO</w:t>
      </w:r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color w:val="000000"/>
        </w:rPr>
        <w:t xml:space="preserve">A Recorrente </w:t>
      </w:r>
      <w:proofErr w:type="spellStart"/>
      <w:r>
        <w:rPr>
          <w:rFonts w:ascii="Century Gothic" w:eastAsia="Century Gothic" w:hAnsi="Century Gothic" w:cs="Century Gothic"/>
          <w:color w:val="000000"/>
        </w:rPr>
        <w:t>irresigna-se</w:t>
      </w:r>
      <w:proofErr w:type="spellEnd"/>
      <w:r>
        <w:rPr>
          <w:rFonts w:ascii="Century Gothic" w:eastAsia="Century Gothic" w:hAnsi="Century Gothic" w:cs="Century Gothic"/>
          <w:color w:val="000000"/>
        </w:rPr>
        <w:t xml:space="preserve"> frente à decisão da </w:t>
      </w:r>
      <w:proofErr w:type="spellStart"/>
      <w:r>
        <w:rPr>
          <w:rFonts w:ascii="Century Gothic" w:eastAsia="Century Gothic" w:hAnsi="Century Gothic" w:cs="Century Gothic"/>
          <w:color w:val="000000"/>
        </w:rPr>
        <w:t>Pregoeira</w:t>
      </w:r>
      <w:proofErr w:type="spellEnd"/>
      <w:r>
        <w:rPr>
          <w:rFonts w:ascii="Century Gothic" w:eastAsia="Century Gothic" w:hAnsi="Century Gothic" w:cs="Century Gothic"/>
          <w:color w:val="000000"/>
        </w:rPr>
        <w:t xml:space="preserve"> em </w:t>
      </w:r>
      <w:r w:rsidR="00CC26AF">
        <w:rPr>
          <w:rFonts w:ascii="Century Gothic" w:eastAsia="Century Gothic" w:hAnsi="Century Gothic" w:cs="Century Gothic"/>
          <w:color w:val="000000"/>
        </w:rPr>
        <w:t xml:space="preserve">inabilitá-la do </w:t>
      </w:r>
      <w:r w:rsidR="00CC26AF" w:rsidRPr="00CC26AF">
        <w:rPr>
          <w:rFonts w:ascii="Century Gothic" w:eastAsia="Century Gothic" w:hAnsi="Century Gothic" w:cs="Century Gothic"/>
          <w:color w:val="000000"/>
        </w:rPr>
        <w:t>Lote 04 – Biblioteca de gravação de fita LTO-9 do certame supracitado</w:t>
      </w:r>
      <w:r>
        <w:rPr>
          <w:rFonts w:ascii="Century Gothic" w:eastAsia="Century Gothic" w:hAnsi="Century Gothic" w:cs="Century Gothic"/>
          <w:color w:val="000000"/>
        </w:rPr>
        <w:t>.</w:t>
      </w: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color w:val="000000"/>
        </w:rPr>
        <w:br/>
        <w:t>A seguir, transcrevem-se, resumidamente, excertos que fundamentam as razões recursais ora impetradas:</w:t>
      </w:r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</w:p>
    <w:p w:rsidR="00557694" w:rsidRDefault="009E799D" w:rsidP="00E926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“[...</w:t>
      </w:r>
      <w:proofErr w:type="gramStart"/>
      <w:r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]</w:t>
      </w:r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O</w:t>
      </w:r>
      <w:proofErr w:type="gramEnd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parecer sobre a ANÁLISE DA PROPOSTA TÉCNICA afirma que a </w:t>
      </w:r>
      <w:proofErr w:type="spellStart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Plugnet</w:t>
      </w:r>
      <w:proofErr w:type="spellEnd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não atendeu ao requisito do Item 11.5 do edital devido à falta da apresentação do Atestado de Capacidade Técnica compatível com as especificações do subitem 11.5.1.1</w:t>
      </w:r>
      <w:r w:rsidR="00557694"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</w:t>
      </w:r>
      <w:r w:rsid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[...] </w:t>
      </w:r>
    </w:p>
    <w:p w:rsidR="00557694" w:rsidRDefault="00557694" w:rsidP="00E926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</w:p>
    <w:p w:rsidR="00557694" w:rsidRDefault="00E926E3" w:rsidP="00A61D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[...</w:t>
      </w:r>
      <w:proofErr w:type="gramStart"/>
      <w:r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]</w:t>
      </w:r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No</w:t>
      </w:r>
      <w:proofErr w:type="gramEnd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entanto, deve-se esclarecer que provavelmente houve um equívoco na análise, uma vez que a PLUGNET apresentou o atestado denominado "Atestado 01 - </w:t>
      </w:r>
      <w:proofErr w:type="spellStart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Plugnet</w:t>
      </w:r>
      <w:proofErr w:type="spellEnd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- EXP. 00863-2023.</w:t>
      </w:r>
      <w:proofErr w:type="spellStart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pdf</w:t>
      </w:r>
      <w:proofErr w:type="spellEnd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”, que satisfaz plenamente os requisitos de compatibilidade estabelecidos no subitem 11.5.1.1</w:t>
      </w:r>
      <w:r w:rsidR="00557694"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</w:t>
      </w:r>
      <w:r w:rsidR="009E799D"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[...]</w:t>
      </w:r>
    </w:p>
    <w:p w:rsidR="00557694" w:rsidRDefault="00557694" w:rsidP="00A61D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</w:p>
    <w:p w:rsidR="00557694" w:rsidRPr="00557694" w:rsidRDefault="00557694" w:rsidP="00A61D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  <w:r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lastRenderedPageBreak/>
        <w:t>[...]</w:t>
      </w:r>
      <w:r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</w:t>
      </w:r>
      <w:r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Este atestado comprova o fornecimento, implantação e treinamento de uma Solução de Backup, cujo produto ofertado é a HPE MSL 1/8 G2 0-drive Tape </w:t>
      </w:r>
      <w:proofErr w:type="spellStart"/>
      <w:r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Autoloader</w:t>
      </w:r>
      <w:proofErr w:type="spellEnd"/>
      <w:r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(R1R75A), o qual é uma Biblioteca de Backup de gravação de fita LTO-9.</w:t>
      </w:r>
    </w:p>
    <w:p w:rsidR="00557694" w:rsidRPr="00557694" w:rsidRDefault="00557694" w:rsidP="00A61D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</w:p>
    <w:p w:rsidR="007C72EC" w:rsidRPr="00557694" w:rsidRDefault="00557694" w:rsidP="00A61D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  <w:r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[...]</w:t>
      </w:r>
      <w:r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</w:t>
      </w:r>
      <w:r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Portanto, o atestado apresentado pela </w:t>
      </w:r>
      <w:proofErr w:type="spellStart"/>
      <w:r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Plugnet</w:t>
      </w:r>
      <w:proofErr w:type="spellEnd"/>
      <w:r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, o qual confirma a implantação, treinamento e fornecimento do produto em questão, deveria ser considerado válido e atendendo integralmente aos requisitos do tópico 11.5 do Edital. </w:t>
      </w:r>
      <w:proofErr w:type="gramStart"/>
      <w:r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Como resultado, não há motivos para a desclassificação da proposta.</w:t>
      </w:r>
      <w:r w:rsidR="009E799D"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”</w:t>
      </w:r>
      <w:proofErr w:type="gramEnd"/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</w:p>
    <w:p w:rsidR="007C72EC" w:rsidRDefault="009E799D" w:rsidP="00A61DD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i/>
          <w:color w:val="000000"/>
        </w:rPr>
        <w:t xml:space="preserve">Ex </w:t>
      </w:r>
      <w:proofErr w:type="spellStart"/>
      <w:r>
        <w:rPr>
          <w:rFonts w:ascii="Century Gothic" w:eastAsia="Century Gothic" w:hAnsi="Century Gothic" w:cs="Century Gothic"/>
          <w:i/>
          <w:color w:val="000000"/>
        </w:rPr>
        <w:t>positis</w:t>
      </w:r>
      <w:proofErr w:type="spellEnd"/>
      <w:r>
        <w:rPr>
          <w:rFonts w:ascii="Century Gothic" w:eastAsia="Century Gothic" w:hAnsi="Century Gothic" w:cs="Century Gothic"/>
          <w:color w:val="000000"/>
        </w:rPr>
        <w:t>, a Recorrente solicita que:</w:t>
      </w:r>
    </w:p>
    <w:p w:rsidR="007C72EC" w:rsidRPr="00E926E3" w:rsidRDefault="009E799D" w:rsidP="005576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color w:val="000000"/>
          <w:sz w:val="20"/>
          <w:szCs w:val="20"/>
        </w:rPr>
      </w:pPr>
      <w:r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“</w:t>
      </w:r>
      <w:r w:rsidR="00557694" w:rsidRP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[...]</w:t>
      </w:r>
      <w:r w:rsid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</w:t>
      </w:r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que considere as argumentações apresentadas neste recurso, juntamente com todo o conteúdo dos autos do processo. Diante disso, encarecidamente requeremos que este recurso seja </w:t>
      </w:r>
      <w:proofErr w:type="gramStart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analisado e acatado, resultando na anulação da desclassificação da proposta da PLUGNET para o Lote 04 do Pregão Eletrônico</w:t>
      </w:r>
      <w:proofErr w:type="gramEnd"/>
      <w:r w:rsidR="00557694" w:rsidRPr="00557694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 xml:space="preserve"> Nº 094/2023.</w:t>
      </w:r>
      <w:r w:rsidR="00E926E3">
        <w:rPr>
          <w:rFonts w:ascii="Century Gothic" w:eastAsia="Century Gothic" w:hAnsi="Century Gothic" w:cs="Century Gothic"/>
          <w:i/>
          <w:color w:val="000000"/>
          <w:sz w:val="20"/>
          <w:szCs w:val="20"/>
        </w:rPr>
        <w:t>”</w:t>
      </w:r>
    </w:p>
    <w:p w:rsidR="007C72EC" w:rsidRDefault="007C72EC" w:rsidP="00A61DD7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b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 xml:space="preserve">V. DO PRONUNCIAMENTO DO SETOR </w:t>
      </w:r>
      <w:proofErr w:type="gramStart"/>
      <w:r>
        <w:rPr>
          <w:rFonts w:ascii="Century Gothic" w:eastAsia="Century Gothic" w:hAnsi="Century Gothic" w:cs="Century Gothic"/>
          <w:b/>
          <w:color w:val="000000"/>
        </w:rPr>
        <w:t>DEMANDANTE</w:t>
      </w:r>
      <w:proofErr w:type="gramEnd"/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b/>
          <w:color w:val="000000"/>
        </w:rPr>
      </w:pPr>
    </w:p>
    <w:p w:rsidR="007C72EC" w:rsidRDefault="0057130F" w:rsidP="00A61DD7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color w:val="000000"/>
        </w:rPr>
        <w:t>A Divisão</w:t>
      </w:r>
      <w:r w:rsidR="009E799D" w:rsidRPr="0057130F">
        <w:rPr>
          <w:rFonts w:ascii="Century Gothic" w:eastAsia="Century Gothic" w:hAnsi="Century Gothic" w:cs="Century Gothic"/>
          <w:color w:val="000000"/>
        </w:rPr>
        <w:t xml:space="preserve"> Ministerial </w:t>
      </w:r>
      <w:r w:rsidR="00557694" w:rsidRPr="0057130F">
        <w:rPr>
          <w:rFonts w:ascii="Century Gothic" w:eastAsia="Century Gothic" w:hAnsi="Century Gothic" w:cs="Century Gothic"/>
          <w:color w:val="000000"/>
        </w:rPr>
        <w:t>de Redes</w:t>
      </w:r>
      <w:r>
        <w:rPr>
          <w:rFonts w:ascii="Century Gothic" w:eastAsia="Century Gothic" w:hAnsi="Century Gothic" w:cs="Century Gothic"/>
          <w:color w:val="000000"/>
        </w:rPr>
        <w:t xml:space="preserve"> (DEMITIC-DIMRE)</w:t>
      </w:r>
      <w:r w:rsidR="009E799D">
        <w:rPr>
          <w:rFonts w:ascii="Century Gothic" w:eastAsia="Century Gothic" w:hAnsi="Century Gothic" w:cs="Century Gothic"/>
          <w:color w:val="000000"/>
        </w:rPr>
        <w:t xml:space="preserve"> assim se pronunciou acerca do recurso em questão:</w:t>
      </w:r>
    </w:p>
    <w:p w:rsidR="0057130F" w:rsidRPr="0057130F" w:rsidRDefault="009E799D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sz w:val="20"/>
          <w:szCs w:val="20"/>
        </w:rPr>
      </w:pPr>
      <w:r>
        <w:rPr>
          <w:rFonts w:ascii="Century Gothic" w:eastAsia="Century Gothic" w:hAnsi="Century Gothic" w:cs="Century Gothic"/>
          <w:i/>
          <w:sz w:val="20"/>
          <w:szCs w:val="20"/>
        </w:rPr>
        <w:t>“</w:t>
      </w:r>
      <w:r w:rsidR="0057130F"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Conforme previsto no Edital do </w:t>
      </w:r>
      <w:r w:rsidR="0057130F"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 xml:space="preserve">PREGÃO ELETRÔNICO Nº </w:t>
      </w:r>
      <w:proofErr w:type="gramStart"/>
      <w:r w:rsidR="0057130F"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>0094.2023.</w:t>
      </w:r>
      <w:proofErr w:type="gramEnd"/>
      <w:r w:rsidR="0057130F"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>CPL.PE.0060.MPPE</w:t>
      </w:r>
      <w:r w:rsidR="0057130F" w:rsidRPr="0057130F">
        <w:rPr>
          <w:rFonts w:ascii="Century Gothic" w:eastAsia="Century Gothic" w:hAnsi="Century Gothic" w:cs="Century Gothic"/>
          <w:i/>
          <w:sz w:val="20"/>
          <w:szCs w:val="20"/>
        </w:rPr>
        <w:t>: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11.5. DA QUALIFICAÇÃO TÉCNICA (PARA O LOTE 04)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11.5.1. Comprovação de experiência prévia no fornecimento, instalação e treinamento de bens similares ou compatíveis, com características, quantitativos, complexidade tecnológica e </w:t>
      </w:r>
      <w:proofErr w:type="gramStart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operacional equivalentes</w:t>
      </w:r>
      <w:proofErr w:type="gramEnd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 ou superiores ao objeto desta licitação, ou com o item pertinente,</w:t>
      </w:r>
      <w:r>
        <w:rPr>
          <w:rFonts w:ascii="Century Gothic" w:eastAsia="Century Gothic" w:hAnsi="Century Gothic" w:cs="Century Gothic"/>
          <w:i/>
          <w:sz w:val="20"/>
          <w:szCs w:val="20"/>
        </w:rPr>
        <w:t xml:space="preserve"> </w:t>
      </w: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mediante atestado(s) fornecido(s) por pessoa(s) de direito público ou privado ou regularmente emitido(s) pelo conselho profissional competente, quando for o caso.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11.5.1.1. Será considerado compatível em características e quantidade o fornecimento,</w:t>
      </w:r>
      <w:r>
        <w:rPr>
          <w:rFonts w:ascii="Century Gothic" w:eastAsia="Century Gothic" w:hAnsi="Century Gothic" w:cs="Century Gothic"/>
          <w:i/>
          <w:sz w:val="20"/>
          <w:szCs w:val="20"/>
        </w:rPr>
        <w:t xml:space="preserve"> </w:t>
      </w: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instalação e treinamento de 01 Biblioteca de gravação de fita LTO-9.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11.5.1.2. Os atestados de capacidade técnica poderão ser apresentados em nome da matriz</w:t>
      </w:r>
      <w:r>
        <w:rPr>
          <w:rFonts w:ascii="Century Gothic" w:eastAsia="Century Gothic" w:hAnsi="Century Gothic" w:cs="Century Gothic"/>
          <w:i/>
          <w:sz w:val="20"/>
          <w:szCs w:val="20"/>
        </w:rPr>
        <w:t xml:space="preserve"> </w:t>
      </w: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ou da filial do fornecedor.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11.5.1.3. Não serão aceitos atestados emitidos pela licitante, em seu próprio nome, nem</w:t>
      </w:r>
      <w:r>
        <w:rPr>
          <w:rFonts w:ascii="Century Gothic" w:eastAsia="Century Gothic" w:hAnsi="Century Gothic" w:cs="Century Gothic"/>
          <w:i/>
          <w:sz w:val="20"/>
          <w:szCs w:val="20"/>
        </w:rPr>
        <w:t xml:space="preserve"> </w:t>
      </w: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qualquer outro em desacordo com as exigências do Edital.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11.5.1.4. A licitante disponibilizará todas as informações necessárias à comprovação da</w:t>
      </w:r>
      <w:r>
        <w:rPr>
          <w:rFonts w:ascii="Century Gothic" w:eastAsia="Century Gothic" w:hAnsi="Century Gothic" w:cs="Century Gothic"/>
          <w:i/>
          <w:sz w:val="20"/>
          <w:szCs w:val="20"/>
        </w:rPr>
        <w:t xml:space="preserve"> </w:t>
      </w: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legitimidade dos atestados, apresentando, quando solicitado pela Administração, cópia do contrato que deu suporte à contratação, endereço atual da contratante e local em que foi executado o objeto contratado, dentre outros documentos.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Conforme devidamente indicado pela empresa </w:t>
      </w:r>
      <w:proofErr w:type="spellStart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Plugnet</w:t>
      </w:r>
      <w:proofErr w:type="spellEnd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 Comércio e Representações LTDA, o equipamento ofertado ao SESC - Administração Regional no Estado de Alagoas - Tape </w:t>
      </w:r>
      <w:proofErr w:type="spellStart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Autoloader</w:t>
      </w:r>
      <w:proofErr w:type="spellEnd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 HPE </w:t>
      </w:r>
      <w:proofErr w:type="spellStart"/>
      <w:proofErr w:type="gramStart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StoreEver</w:t>
      </w:r>
      <w:proofErr w:type="spellEnd"/>
      <w:proofErr w:type="gramEnd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 MSL 1/8 G2 sem unidades -, realmente suporta o padrão LTO-9, exigido no Edital do </w:t>
      </w:r>
      <w:r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>PREGÃO ELETRÔNICO Nº 0094.2023.CPL.PE.0060.MPPE</w:t>
      </w: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. </w:t>
      </w:r>
      <w:r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>Contudo, a empresa omitiu, em seu recurso, que o equipamento foi configurado, instalado e ministrado treinamento com o padrão tecnológico de fitas de gravação no padrão LTO-8, que é de uma geração tecnológica inferior à exigida em edital.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lastRenderedPageBreak/>
        <w:t xml:space="preserve">Cabe ressaltar que esta particularidade da biblioteca de fitas, suportar várias gerações de LTO é uma característica peculiar do fabricante HPE, que permite que um mesmo chassis possa ser </w:t>
      </w:r>
      <w:proofErr w:type="gramStart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configurado de acordo com a necessidade do projeto, que no caso do MPPE é exigido</w:t>
      </w:r>
      <w:proofErr w:type="gramEnd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 LTO-9 e no caso do SESC foi exigido LTO-8. Tal fato pode ser comprovado pelo próprio atestado de capacidade técnica do SESC, onde vemos claramente que os itens </w:t>
      </w:r>
      <w:proofErr w:type="gramStart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2</w:t>
      </w:r>
      <w:proofErr w:type="gramEnd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 e 5 são da tecnologia LTO-8.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Desta feita, em que pese o equipamento ofertado aquela instituição suportar o padrão exigido em edital - LTO-9, nenhum serviço de complexidade similar foi executado pelo recorrente com a tecnologia solicitada no presente certame. 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Além disto, caso a empresa recorrente tivesse dúvidas quanto à apresentação do devido atestado, poderia fazê-lo, mediante questionamento ao edital, durante a fase de publicação do certame, procedimento este que não foi feito pela empresa.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Com relação ao atestado emitido pelo TCE-AL, a própria Recorrente afirma que: “atesta o fornecimento, instalação e treinamento do produto HPE MSL4048, uma biblioteca de gravação de fita compatível com os drives LTO-8/LTO-7/LTO-6/LTO-5”. Tal atestado foi emitido em 2015, ou seja, há mais de </w:t>
      </w:r>
      <w:proofErr w:type="gramStart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8</w:t>
      </w:r>
      <w:proofErr w:type="gramEnd"/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 anos de sua emissão, demonstrando assim ser de uma tecnologia totalmente ultrapassada, que é a que justamente se pretende atualizar nesta instituição.</w:t>
      </w: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</w:p>
    <w:p w:rsidR="0057130F" w:rsidRPr="0057130F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 xml:space="preserve">Dada esta necessidade de atualização, é que foi solicitada a experiência em “fornecimento, instalação e treinamento de 01 Biblioteca de gravação de fita </w:t>
      </w:r>
      <w:r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>LTO-9</w:t>
      </w:r>
      <w:r w:rsidRPr="0057130F">
        <w:rPr>
          <w:rFonts w:ascii="Century Gothic" w:eastAsia="Century Gothic" w:hAnsi="Century Gothic" w:cs="Century Gothic"/>
          <w:i/>
          <w:sz w:val="20"/>
          <w:szCs w:val="20"/>
        </w:rPr>
        <w:t>”. Assim, o Edital vinculou objetivamente a geração tecnológica da fita LTO, não podendo se admitir tecnologia anterior como objeto similar ou compatível, para fins de habilitação técnica.</w:t>
      </w:r>
    </w:p>
    <w:p w:rsidR="003716CA" w:rsidRPr="003716CA" w:rsidRDefault="0057130F" w:rsidP="005713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i/>
          <w:sz w:val="20"/>
          <w:szCs w:val="20"/>
        </w:rPr>
      </w:pPr>
      <w:r w:rsidRPr="0057130F">
        <w:rPr>
          <w:rFonts w:ascii="Century Gothic" w:eastAsia="Century Gothic" w:hAnsi="Century Gothic" w:cs="Century Gothic"/>
          <w:i/>
          <w:sz w:val="20"/>
          <w:szCs w:val="20"/>
        </w:rPr>
        <w:br/>
        <w:t xml:space="preserve">Por fim, a equipe de planejamento da contratação mantém o seu entendimento prévio de desclassificar a empresa por não atender aos requisitos exigidos no item </w:t>
      </w:r>
      <w:r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 xml:space="preserve">11.5 do Edital - 11.5. </w:t>
      </w:r>
      <w:proofErr w:type="gramStart"/>
      <w:r w:rsidRPr="0057130F">
        <w:rPr>
          <w:rFonts w:ascii="Century Gothic" w:eastAsia="Century Gothic" w:hAnsi="Century Gothic" w:cs="Century Gothic"/>
          <w:b/>
          <w:i/>
          <w:sz w:val="20"/>
          <w:szCs w:val="20"/>
        </w:rPr>
        <w:t>DA QUALIFICAÇÃO TÉCNICA (PARA O LOTE 04), uma vez que os atestados apresentados não atendem ao previsto no subitem 11.5.1.1 do edital</w:t>
      </w:r>
      <w:r>
        <w:rPr>
          <w:rFonts w:ascii="Century Gothic" w:eastAsia="Century Gothic" w:hAnsi="Century Gothic" w:cs="Century Gothic"/>
          <w:i/>
          <w:sz w:val="20"/>
          <w:szCs w:val="20"/>
        </w:rPr>
        <w:t>.</w:t>
      </w:r>
      <w:r w:rsidR="003716CA" w:rsidRPr="003716CA">
        <w:rPr>
          <w:rFonts w:ascii="Century Gothic" w:eastAsia="Century Gothic" w:hAnsi="Century Gothic" w:cs="Century Gothic"/>
          <w:i/>
          <w:sz w:val="20"/>
          <w:szCs w:val="20"/>
        </w:rPr>
        <w:t>”</w:t>
      </w:r>
      <w:proofErr w:type="gramEnd"/>
      <w:r w:rsidR="00E926E3">
        <w:rPr>
          <w:rFonts w:ascii="Century Gothic" w:eastAsia="Century Gothic" w:hAnsi="Century Gothic" w:cs="Century Gothic"/>
          <w:i/>
          <w:sz w:val="20"/>
          <w:szCs w:val="20"/>
        </w:rPr>
        <w:t xml:space="preserve"> (grifo</w:t>
      </w:r>
      <w:r w:rsidR="00726632">
        <w:rPr>
          <w:rFonts w:ascii="Century Gothic" w:eastAsia="Century Gothic" w:hAnsi="Century Gothic" w:cs="Century Gothic"/>
          <w:i/>
          <w:sz w:val="20"/>
          <w:szCs w:val="20"/>
        </w:rPr>
        <w:t>s</w:t>
      </w:r>
      <w:r w:rsidR="00E926E3">
        <w:rPr>
          <w:rFonts w:ascii="Century Gothic" w:eastAsia="Century Gothic" w:hAnsi="Century Gothic" w:cs="Century Gothic"/>
          <w:i/>
          <w:sz w:val="20"/>
          <w:szCs w:val="20"/>
        </w:rPr>
        <w:t xml:space="preserve"> nosso</w:t>
      </w:r>
      <w:r w:rsidR="00726632">
        <w:rPr>
          <w:rFonts w:ascii="Century Gothic" w:eastAsia="Century Gothic" w:hAnsi="Century Gothic" w:cs="Century Gothic"/>
          <w:i/>
          <w:sz w:val="20"/>
          <w:szCs w:val="20"/>
        </w:rPr>
        <w:t>s</w:t>
      </w:r>
      <w:r w:rsidR="00E926E3">
        <w:rPr>
          <w:rFonts w:ascii="Century Gothic" w:eastAsia="Century Gothic" w:hAnsi="Century Gothic" w:cs="Century Gothic"/>
          <w:i/>
          <w:sz w:val="20"/>
          <w:szCs w:val="20"/>
        </w:rPr>
        <w:t>)</w:t>
      </w:r>
    </w:p>
    <w:p w:rsidR="007C72EC" w:rsidRDefault="007C72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b/>
          <w:color w:val="000000"/>
        </w:rPr>
      </w:pPr>
    </w:p>
    <w:p w:rsidR="00A56EAC" w:rsidRDefault="00A56E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b/>
          <w:color w:val="000000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VI. DO ENTENDIMENTO DA PREGOEIRA</w:t>
      </w:r>
    </w:p>
    <w:p w:rsidR="004410CF" w:rsidRDefault="005A24F2" w:rsidP="004410CF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Esta </w:t>
      </w:r>
      <w:proofErr w:type="spellStart"/>
      <w:r>
        <w:rPr>
          <w:rFonts w:ascii="Century Gothic" w:eastAsia="Century Gothic" w:hAnsi="Century Gothic" w:cs="Century Gothic"/>
        </w:rPr>
        <w:t>Pregoeira</w:t>
      </w:r>
      <w:proofErr w:type="spellEnd"/>
      <w:r>
        <w:rPr>
          <w:rFonts w:ascii="Century Gothic" w:eastAsia="Century Gothic" w:hAnsi="Century Gothic" w:cs="Century Gothic"/>
        </w:rPr>
        <w:t xml:space="preserve"> se coaduna ao entendimento do setor demandante da contratação, com a finalidade de manutenção da decisão que inabilitou a Recorrente do Lote 04 do presente certame.</w:t>
      </w:r>
    </w:p>
    <w:p w:rsidR="005A24F2" w:rsidRPr="005A24F2" w:rsidRDefault="00726632" w:rsidP="005A24F2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Trata-se o presente caso de </w:t>
      </w:r>
      <w:r w:rsidRPr="00726632">
        <w:rPr>
          <w:rFonts w:ascii="Century Gothic" w:eastAsia="Century Gothic" w:hAnsi="Century Gothic" w:cs="Century Gothic"/>
        </w:rPr>
        <w:t>vincula</w:t>
      </w:r>
      <w:r>
        <w:rPr>
          <w:rFonts w:ascii="Century Gothic" w:eastAsia="Century Gothic" w:hAnsi="Century Gothic" w:cs="Century Gothic"/>
        </w:rPr>
        <w:t>ção</w:t>
      </w:r>
      <w:r w:rsidRPr="00726632">
        <w:rPr>
          <w:rFonts w:ascii="Century Gothic" w:eastAsia="Century Gothic" w:hAnsi="Century Gothic" w:cs="Century Gothic"/>
        </w:rPr>
        <w:t xml:space="preserve"> ao instrumento convocatório</w:t>
      </w:r>
      <w:r>
        <w:rPr>
          <w:rFonts w:ascii="Century Gothic" w:eastAsia="Century Gothic" w:hAnsi="Century Gothic" w:cs="Century Gothic"/>
        </w:rPr>
        <w:t xml:space="preserve"> e aos seus critérios objetivos. </w:t>
      </w:r>
      <w:r w:rsidR="005A24F2" w:rsidRPr="005A24F2">
        <w:rPr>
          <w:rFonts w:ascii="Century Gothic" w:eastAsia="Century Gothic" w:hAnsi="Century Gothic" w:cs="Century Gothic"/>
        </w:rPr>
        <w:t>Passo a justificar.</w:t>
      </w:r>
    </w:p>
    <w:p w:rsidR="00726632" w:rsidRPr="00726632" w:rsidRDefault="0038269F" w:rsidP="00726632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A decisão que </w:t>
      </w:r>
      <w:r w:rsidR="00726632" w:rsidRPr="00726632">
        <w:rPr>
          <w:rFonts w:ascii="Century Gothic" w:eastAsia="Century Gothic" w:hAnsi="Century Gothic" w:cs="Century Gothic"/>
        </w:rPr>
        <w:t xml:space="preserve">inabilitou a </w:t>
      </w:r>
      <w:r>
        <w:rPr>
          <w:rFonts w:ascii="Century Gothic" w:eastAsia="Century Gothic" w:hAnsi="Century Gothic" w:cs="Century Gothic"/>
        </w:rPr>
        <w:t>R</w:t>
      </w:r>
      <w:r w:rsidR="00726632" w:rsidRPr="00726632">
        <w:rPr>
          <w:rFonts w:ascii="Century Gothic" w:eastAsia="Century Gothic" w:hAnsi="Century Gothic" w:cs="Century Gothic"/>
        </w:rPr>
        <w:t>ecorrente merece ser mantida</w:t>
      </w:r>
      <w:r>
        <w:rPr>
          <w:rFonts w:ascii="Century Gothic" w:eastAsia="Century Gothic" w:hAnsi="Century Gothic" w:cs="Century Gothic"/>
        </w:rPr>
        <w:t>, por se tratar do desatendimento de critério objetivamente definido em Edital. Quando o Edital fixou a exigência em seu item 11.5.1.1 que a experiência da licitante para o Lote 04 deveria ser comprovada através de atestado em “</w:t>
      </w:r>
      <w:r w:rsidRPr="0057130F">
        <w:rPr>
          <w:rFonts w:ascii="Century Gothic" w:eastAsia="Century Gothic" w:hAnsi="Century Gothic" w:cs="Century Gothic"/>
        </w:rPr>
        <w:t>fornecimento,</w:t>
      </w:r>
      <w:r w:rsidRPr="0038269F">
        <w:rPr>
          <w:rFonts w:ascii="Century Gothic" w:eastAsia="Century Gothic" w:hAnsi="Century Gothic" w:cs="Century Gothic"/>
        </w:rPr>
        <w:t xml:space="preserve"> </w:t>
      </w:r>
      <w:r w:rsidRPr="0057130F">
        <w:rPr>
          <w:rFonts w:ascii="Century Gothic" w:eastAsia="Century Gothic" w:hAnsi="Century Gothic" w:cs="Century Gothic"/>
        </w:rPr>
        <w:t>instalação e treinamento de 01 Biblioteca de gravação de fita LTO-9</w:t>
      </w:r>
      <w:r>
        <w:rPr>
          <w:rFonts w:ascii="Century Gothic" w:eastAsia="Century Gothic" w:hAnsi="Century Gothic" w:cs="Century Gothic"/>
        </w:rPr>
        <w:t>”</w:t>
      </w:r>
      <w:r w:rsidR="00FE00F3">
        <w:rPr>
          <w:rFonts w:ascii="Century Gothic" w:eastAsia="Century Gothic" w:hAnsi="Century Gothic" w:cs="Century Gothic"/>
        </w:rPr>
        <w:t xml:space="preserve">, não poderia aceitar outra geração tecnológica de fita LTO, pois designou </w:t>
      </w:r>
      <w:r w:rsidR="00FE00F3">
        <w:rPr>
          <w:rFonts w:ascii="Century Gothic" w:eastAsia="Century Gothic" w:hAnsi="Century Gothic" w:cs="Century Gothic"/>
        </w:rPr>
        <w:lastRenderedPageBreak/>
        <w:t>objetivamente a quantidade e discriminação do objeto, alvo de comprovação.</w:t>
      </w:r>
      <w:r>
        <w:rPr>
          <w:rFonts w:ascii="Century Gothic" w:eastAsia="Century Gothic" w:hAnsi="Century Gothic" w:cs="Century Gothic"/>
          <w:i/>
          <w:sz w:val="20"/>
          <w:szCs w:val="20"/>
        </w:rPr>
        <w:t xml:space="preserve"> </w:t>
      </w:r>
    </w:p>
    <w:p w:rsidR="00EA1BDC" w:rsidRDefault="00043644" w:rsidP="005A24F2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O setor demandante, como bem pontuado em seu pronunciamento, constatou que a biblioteca de gravação efetivamente fornecida e instalada foi LTO-8, e não a LTO-9. Embora o equipamento suporte até a geração </w:t>
      </w:r>
      <w:proofErr w:type="gramStart"/>
      <w:r>
        <w:rPr>
          <w:rFonts w:ascii="Century Gothic" w:eastAsia="Century Gothic" w:hAnsi="Century Gothic" w:cs="Century Gothic"/>
        </w:rPr>
        <w:t>9</w:t>
      </w:r>
      <w:proofErr w:type="gramEnd"/>
      <w:r>
        <w:rPr>
          <w:rFonts w:ascii="Century Gothic" w:eastAsia="Century Gothic" w:hAnsi="Century Gothic" w:cs="Century Gothic"/>
        </w:rPr>
        <w:t xml:space="preserve"> da biblioteca de gravação, o que foi efetivamente instalado não possuía essa tecnologia.</w:t>
      </w:r>
    </w:p>
    <w:p w:rsidR="00043644" w:rsidRPr="00043644" w:rsidRDefault="00043644" w:rsidP="00043644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 w:rsidRPr="00043644">
        <w:rPr>
          <w:rFonts w:ascii="Century Gothic" w:eastAsia="Century Gothic" w:hAnsi="Century Gothic" w:cs="Century Gothic"/>
        </w:rPr>
        <w:t>Trazemos a baila</w:t>
      </w:r>
      <w:r>
        <w:rPr>
          <w:rFonts w:ascii="Century Gothic" w:eastAsia="Century Gothic" w:hAnsi="Century Gothic" w:cs="Century Gothic"/>
        </w:rPr>
        <w:t xml:space="preserve"> entendimentos</w:t>
      </w:r>
      <w:r w:rsidR="00BD2736">
        <w:rPr>
          <w:rFonts w:ascii="Century Gothic" w:eastAsia="Century Gothic" w:hAnsi="Century Gothic" w:cs="Century Gothic"/>
        </w:rPr>
        <w:t xml:space="preserve"> já</w:t>
      </w:r>
      <w:r>
        <w:rPr>
          <w:rFonts w:ascii="Century Gothic" w:eastAsia="Century Gothic" w:hAnsi="Century Gothic" w:cs="Century Gothic"/>
        </w:rPr>
        <w:t xml:space="preserve"> julgados por Corte de Conta e Tribunal Superior, que </w:t>
      </w:r>
      <w:r w:rsidR="00BF7F29">
        <w:rPr>
          <w:rFonts w:ascii="Century Gothic" w:eastAsia="Century Gothic" w:hAnsi="Century Gothic" w:cs="Century Gothic"/>
        </w:rPr>
        <w:t xml:space="preserve">embora em situações distintas, </w:t>
      </w:r>
      <w:r w:rsidR="00BD2736">
        <w:rPr>
          <w:rFonts w:ascii="Century Gothic" w:eastAsia="Century Gothic" w:hAnsi="Century Gothic" w:cs="Century Gothic"/>
        </w:rPr>
        <w:t>se deparam com a inobservância aos critérios objetivos definidos em Edital para inabilitar ou habilitar.</w:t>
      </w:r>
      <w:r w:rsidR="00BF7F29">
        <w:rPr>
          <w:rFonts w:ascii="Century Gothic" w:eastAsia="Century Gothic" w:hAnsi="Century Gothic" w:cs="Century Gothic"/>
        </w:rPr>
        <w:t xml:space="preserve"> </w:t>
      </w:r>
    </w:p>
    <w:p w:rsidR="00EA1BDC" w:rsidRDefault="00EA1BDC" w:rsidP="00004AF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004AF6">
        <w:rPr>
          <w:rFonts w:ascii="Century Gothic" w:eastAsia="Century Gothic" w:hAnsi="Century Gothic" w:cs="Century Gothic"/>
          <w:i/>
          <w:sz w:val="20"/>
          <w:szCs w:val="20"/>
        </w:rPr>
        <w:t xml:space="preserve">STJ - RESP 1178657 - ADMINISTRATIVO. PROCEDIMENTO LICITATÓRIO. PREGÃO. PRINCÍPIO DA VINCULAÇÃO AO EDITAL. </w:t>
      </w:r>
      <w:r w:rsidRPr="00726632">
        <w:rPr>
          <w:rFonts w:ascii="Century Gothic" w:eastAsia="Century Gothic" w:hAnsi="Century Gothic" w:cs="Century Gothic"/>
          <w:b/>
          <w:i/>
          <w:sz w:val="20"/>
          <w:szCs w:val="20"/>
        </w:rPr>
        <w:t xml:space="preserve">REQUISITO DE QUALIFICAÇÃO </w:t>
      </w:r>
      <w:proofErr w:type="gramStart"/>
      <w:r w:rsidRPr="00726632">
        <w:rPr>
          <w:rFonts w:ascii="Century Gothic" w:eastAsia="Century Gothic" w:hAnsi="Century Gothic" w:cs="Century Gothic"/>
          <w:b/>
          <w:i/>
          <w:sz w:val="20"/>
          <w:szCs w:val="20"/>
        </w:rPr>
        <w:t>TÉCNICA NÃO CUMPRIDO</w:t>
      </w:r>
      <w:proofErr w:type="gramEnd"/>
      <w:r w:rsidRPr="00726632">
        <w:rPr>
          <w:rFonts w:ascii="Century Gothic" w:eastAsia="Century Gothic" w:hAnsi="Century Gothic" w:cs="Century Gothic"/>
          <w:b/>
          <w:i/>
          <w:sz w:val="20"/>
          <w:szCs w:val="20"/>
        </w:rPr>
        <w:t>. DOCUMENTAÇÃO APRESENTADA DIFERENTE DA EXIGIDA</w:t>
      </w:r>
      <w:r w:rsidRPr="00004AF6">
        <w:rPr>
          <w:rFonts w:ascii="Century Gothic" w:eastAsia="Century Gothic" w:hAnsi="Century Gothic" w:cs="Century Gothic"/>
          <w:i/>
          <w:sz w:val="20"/>
          <w:szCs w:val="20"/>
        </w:rPr>
        <w:t xml:space="preserve">. 3. Aceitar documentação para suprir determinado requisito, que não foi </w:t>
      </w:r>
      <w:proofErr w:type="gramStart"/>
      <w:r w:rsidRPr="00004AF6">
        <w:rPr>
          <w:rFonts w:ascii="Century Gothic" w:eastAsia="Century Gothic" w:hAnsi="Century Gothic" w:cs="Century Gothic"/>
          <w:i/>
          <w:sz w:val="20"/>
          <w:szCs w:val="20"/>
        </w:rPr>
        <w:t>a</w:t>
      </w:r>
      <w:proofErr w:type="gramEnd"/>
      <w:r w:rsidRPr="00004AF6">
        <w:rPr>
          <w:rFonts w:ascii="Century Gothic" w:eastAsia="Century Gothic" w:hAnsi="Century Gothic" w:cs="Century Gothic"/>
          <w:i/>
          <w:sz w:val="20"/>
          <w:szCs w:val="20"/>
        </w:rPr>
        <w:t xml:space="preserve"> solicitada, é </w:t>
      </w:r>
      <w:r w:rsidRPr="00726632">
        <w:rPr>
          <w:rFonts w:ascii="Century Gothic" w:eastAsia="Century Gothic" w:hAnsi="Century Gothic" w:cs="Century Gothic"/>
          <w:b/>
          <w:i/>
          <w:sz w:val="20"/>
          <w:szCs w:val="20"/>
        </w:rPr>
        <w:t>privilegiar um concorrente em detrimento de outros</w:t>
      </w:r>
      <w:r w:rsidRPr="00004AF6">
        <w:rPr>
          <w:rFonts w:ascii="Century Gothic" w:eastAsia="Century Gothic" w:hAnsi="Century Gothic" w:cs="Century Gothic"/>
          <w:i/>
          <w:sz w:val="20"/>
          <w:szCs w:val="20"/>
        </w:rPr>
        <w:t>, o que feriria o princípio da igualdade entre os licitantes. (</w:t>
      </w:r>
      <w:r w:rsidR="00726632">
        <w:rPr>
          <w:rFonts w:ascii="Century Gothic" w:eastAsia="Century Gothic" w:hAnsi="Century Gothic" w:cs="Century Gothic"/>
          <w:i/>
          <w:sz w:val="20"/>
          <w:szCs w:val="20"/>
        </w:rPr>
        <w:t>g</w:t>
      </w:r>
      <w:r w:rsidRPr="00004AF6">
        <w:rPr>
          <w:rFonts w:ascii="Century Gothic" w:eastAsia="Century Gothic" w:hAnsi="Century Gothic" w:cs="Century Gothic"/>
          <w:i/>
          <w:sz w:val="20"/>
          <w:szCs w:val="20"/>
        </w:rPr>
        <w:t>rifo nosso)</w:t>
      </w:r>
    </w:p>
    <w:p w:rsidR="00043644" w:rsidRPr="00043644" w:rsidRDefault="00043644" w:rsidP="00043644">
      <w:pPr>
        <w:pStyle w:val="normal0"/>
        <w:rPr>
          <w:lang w:eastAsia="en-US"/>
        </w:rPr>
      </w:pPr>
    </w:p>
    <w:p w:rsidR="00EA1BDC" w:rsidRPr="00004AF6" w:rsidRDefault="00EA1BDC" w:rsidP="00004AF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  <w:i/>
          <w:sz w:val="20"/>
          <w:szCs w:val="20"/>
        </w:rPr>
      </w:pPr>
      <w:r w:rsidRPr="00004AF6">
        <w:rPr>
          <w:rFonts w:ascii="Century Gothic" w:eastAsia="Century Gothic" w:hAnsi="Century Gothic" w:cs="Century Gothic"/>
          <w:i/>
          <w:sz w:val="20"/>
          <w:szCs w:val="20"/>
        </w:rPr>
        <w:t xml:space="preserve">TCU - Acórdão 4091/2012 - Segunda Câmara. REPRESENTAÇÃO. PREGÃO ELETRÔNICO PARA REGISTRO DE PREÇO. EXIGÊNCIA DE ATESTADOS DE CAPACIDADE TÉCNICA EM PERCENTUAL MÍNIMO DE 50% PARA TODOS OS ITENS LICITADOS. ILEGALIDADE. </w:t>
      </w:r>
      <w:r w:rsidRPr="00726632">
        <w:rPr>
          <w:rFonts w:ascii="Century Gothic" w:eastAsia="Century Gothic" w:hAnsi="Century Gothic" w:cs="Century Gothic"/>
          <w:b/>
          <w:i/>
          <w:sz w:val="20"/>
          <w:szCs w:val="20"/>
        </w:rPr>
        <w:t>ACEITAÇÃO DE ATESTADOS DOS VENCEDORES EM DESACORDO COM O PRÓPRIO EDITAL. MALFERIMENTO DOS PRINCÍPIOS DA ISONOMIA E DA VINCULAÇÃO AO INSTRUMENTO CONVOCATÓRIO</w:t>
      </w:r>
      <w:r w:rsidRPr="00004AF6">
        <w:rPr>
          <w:rFonts w:ascii="Century Gothic" w:eastAsia="Century Gothic" w:hAnsi="Century Gothic" w:cs="Century Gothic"/>
          <w:i/>
          <w:sz w:val="20"/>
          <w:szCs w:val="20"/>
        </w:rPr>
        <w:t xml:space="preserve">. APLICAÇÃO DE MULTA AOS RESPONSÁVEIS. DETERMINAÇÕES. PEDIDO DE REEXAME. CONHECIMENTO. NEGATIVA DE PROVIMENTO </w:t>
      </w:r>
    </w:p>
    <w:p w:rsidR="00EA1BDC" w:rsidRDefault="00EA1BDC" w:rsidP="00EA1BDC">
      <w:pPr>
        <w:pStyle w:val="normal0"/>
      </w:pPr>
    </w:p>
    <w:p w:rsidR="00043644" w:rsidRDefault="00043644" w:rsidP="00043644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 w:rsidRPr="00043644">
        <w:rPr>
          <w:rFonts w:ascii="Century Gothic" w:eastAsia="Century Gothic" w:hAnsi="Century Gothic" w:cs="Century Gothic"/>
        </w:rPr>
        <w:t xml:space="preserve">Impende registrar que a geração </w:t>
      </w:r>
      <w:r w:rsidR="00D9727F">
        <w:rPr>
          <w:rFonts w:ascii="Century Gothic" w:eastAsia="Century Gothic" w:hAnsi="Century Gothic" w:cs="Century Gothic"/>
        </w:rPr>
        <w:t xml:space="preserve">tecnológica exigida não foi alvo de questionamentos ou de impugnação ao presente Edital. Tendo acudido ao torneio licitatório, </w:t>
      </w:r>
      <w:proofErr w:type="gramStart"/>
      <w:r w:rsidR="00D9727F">
        <w:rPr>
          <w:rFonts w:ascii="Century Gothic" w:eastAsia="Century Gothic" w:hAnsi="Century Gothic" w:cs="Century Gothic"/>
        </w:rPr>
        <w:t>3</w:t>
      </w:r>
      <w:proofErr w:type="gramEnd"/>
      <w:r w:rsidR="00D9727F">
        <w:rPr>
          <w:rFonts w:ascii="Century Gothic" w:eastAsia="Century Gothic" w:hAnsi="Century Gothic" w:cs="Century Gothic"/>
        </w:rPr>
        <w:t xml:space="preserve"> empresas, que participaram ativamente da fase de lances, em disputa ao objeto licitado.</w:t>
      </w:r>
    </w:p>
    <w:p w:rsidR="0086697A" w:rsidRDefault="00D9727F" w:rsidP="00D9727F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>Diante dos fatos, e</w:t>
      </w:r>
      <w:r w:rsidRPr="00D9727F">
        <w:rPr>
          <w:rFonts w:ascii="Century Gothic" w:eastAsia="Century Gothic" w:hAnsi="Century Gothic" w:cs="Century Gothic"/>
        </w:rPr>
        <w:t xml:space="preserve">ntende sim, a </w:t>
      </w:r>
      <w:proofErr w:type="spellStart"/>
      <w:r w:rsidRPr="00D9727F">
        <w:rPr>
          <w:rFonts w:ascii="Century Gothic" w:eastAsia="Century Gothic" w:hAnsi="Century Gothic" w:cs="Century Gothic"/>
        </w:rPr>
        <w:t>Pregoeira</w:t>
      </w:r>
      <w:proofErr w:type="spellEnd"/>
      <w:r w:rsidRPr="00D9727F">
        <w:rPr>
          <w:rFonts w:ascii="Century Gothic" w:eastAsia="Century Gothic" w:hAnsi="Century Gothic" w:cs="Century Gothic"/>
        </w:rPr>
        <w:t>, em razão do Lote 04 ter sido fracassado, e pelas situações fáticas vivenciadas no julgamento de habilitação técnicas das licitantes concorrentes</w:t>
      </w:r>
      <w:r>
        <w:rPr>
          <w:rFonts w:ascii="Century Gothic" w:eastAsia="Century Gothic" w:hAnsi="Century Gothic" w:cs="Century Gothic"/>
        </w:rPr>
        <w:t xml:space="preserve">, a necessidade de revisitar o Termo de Referência e suas condições de qualificação técnica. </w:t>
      </w:r>
    </w:p>
    <w:p w:rsidR="00D9727F" w:rsidRPr="00D9727F" w:rsidRDefault="00D9727F" w:rsidP="00D9727F">
      <w:pPr>
        <w:spacing w:before="240" w:after="240" w:line="240" w:lineRule="auto"/>
        <w:ind w:left="0" w:hanging="2"/>
        <w:jc w:val="both"/>
        <w:textDirection w:val="lrTb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>Por outro</w:t>
      </w:r>
      <w:r w:rsidR="0086697A">
        <w:rPr>
          <w:rFonts w:ascii="Century Gothic" w:eastAsia="Century Gothic" w:hAnsi="Century Gothic" w:cs="Century Gothic"/>
        </w:rPr>
        <w:t xml:space="preserve"> lado, reconsiderar a decisão que inabilitou a Recorrente, sob a ótica da similaridade e compatibilidade do objeto executado apresentado em seus documentos de Atestado de Capacidade Técnica, no caso prático, colidiria com o tratamento isonômico entre os participantes. E ainda mais, culminaria num tratamento diferenciado entre os potenciais licitantes que por ventura tenham deixado de apresentar propostas neste Pregão por, ao fazerem a leitura objetiva do Edital, entenderem que não cumpririam seus requisitos.</w:t>
      </w:r>
    </w:p>
    <w:p w:rsidR="00043644" w:rsidRDefault="00043644" w:rsidP="00EA1BDC">
      <w:pPr>
        <w:pStyle w:val="normal0"/>
      </w:pPr>
    </w:p>
    <w:p w:rsidR="00DC2CE5" w:rsidRDefault="00DC2CE5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0" w:right="-2" w:hanging="2"/>
        <w:rPr>
          <w:rFonts w:ascii="Century Gothic" w:eastAsia="Century Gothic" w:hAnsi="Century Gothic" w:cs="Century Gothic"/>
          <w:b/>
          <w:color w:val="000000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0" w:right="-2" w:hanging="2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VII. DA CONCLUSÃO:</w:t>
      </w:r>
    </w:p>
    <w:p w:rsidR="007C72EC" w:rsidRPr="00B3629C" w:rsidRDefault="009E799D" w:rsidP="00A61DD7">
      <w:pPr>
        <w:spacing w:before="240" w:after="240" w:line="240" w:lineRule="auto"/>
        <w:ind w:left="0" w:hanging="2"/>
        <w:jc w:val="both"/>
        <w:rPr>
          <w:rFonts w:ascii="Century Gothic" w:eastAsia="Century Gothic" w:hAnsi="Century Gothic" w:cs="Century Gothic"/>
          <w:b/>
        </w:rPr>
      </w:pPr>
      <w:r>
        <w:rPr>
          <w:rFonts w:ascii="Century Gothic" w:eastAsia="Century Gothic" w:hAnsi="Century Gothic" w:cs="Century Gothic"/>
        </w:rPr>
        <w:t xml:space="preserve">Diante dos fatos contidos na </w:t>
      </w:r>
      <w:r w:rsidR="00B3629C">
        <w:rPr>
          <w:rFonts w:ascii="Century Gothic" w:eastAsia="Century Gothic" w:hAnsi="Century Gothic" w:cs="Century Gothic"/>
        </w:rPr>
        <w:t xml:space="preserve">presente </w:t>
      </w:r>
      <w:r>
        <w:rPr>
          <w:rFonts w:ascii="Century Gothic" w:eastAsia="Century Gothic" w:hAnsi="Century Gothic" w:cs="Century Gothic"/>
        </w:rPr>
        <w:t>análise e</w:t>
      </w:r>
      <w:r w:rsidR="00B3629C">
        <w:rPr>
          <w:rFonts w:ascii="Century Gothic" w:eastAsia="Century Gothic" w:hAnsi="Century Gothic" w:cs="Century Gothic"/>
        </w:rPr>
        <w:t xml:space="preserve"> pronunciamento do setor </w:t>
      </w:r>
      <w:r w:rsidR="00B3629C" w:rsidRPr="00B3629C">
        <w:rPr>
          <w:rFonts w:ascii="Century Gothic" w:eastAsia="Century Gothic" w:hAnsi="Century Gothic" w:cs="Century Gothic"/>
        </w:rPr>
        <w:t>demandante, e</w:t>
      </w:r>
      <w:r w:rsidRPr="00B3629C">
        <w:rPr>
          <w:rFonts w:ascii="Century Gothic" w:eastAsia="Century Gothic" w:hAnsi="Century Gothic" w:cs="Century Gothic"/>
        </w:rPr>
        <w:t xml:space="preserve"> em atendimento aos princípios norteadores da Administração Pública,</w:t>
      </w:r>
      <w:r w:rsidR="00B3629C" w:rsidRPr="00B3629C">
        <w:rPr>
          <w:rFonts w:ascii="Century Gothic" w:eastAsia="Century Gothic" w:hAnsi="Century Gothic" w:cs="Century Gothic"/>
        </w:rPr>
        <w:t xml:space="preserve"> concluo pela manutenção da </w:t>
      </w:r>
      <w:r w:rsidR="007C3AB0">
        <w:rPr>
          <w:rFonts w:ascii="Century Gothic" w:eastAsia="Century Gothic" w:hAnsi="Century Gothic" w:cs="Century Gothic"/>
        </w:rPr>
        <w:t>Inabilitação</w:t>
      </w:r>
      <w:r w:rsidR="00B3629C" w:rsidRPr="00B3629C">
        <w:rPr>
          <w:rFonts w:ascii="Century Gothic" w:eastAsia="Century Gothic" w:hAnsi="Century Gothic" w:cs="Century Gothic"/>
        </w:rPr>
        <w:t xml:space="preserve"> da ora Recorrente, julgando</w:t>
      </w:r>
      <w:r w:rsidR="00B3629C" w:rsidRPr="00B3629C">
        <w:rPr>
          <w:rFonts w:ascii="Century Gothic" w:eastAsia="Century Gothic" w:hAnsi="Century Gothic" w:cs="Century Gothic"/>
          <w:b/>
        </w:rPr>
        <w:t xml:space="preserve"> IMPROCEDENTES</w:t>
      </w:r>
      <w:r w:rsidR="00B3629C" w:rsidRPr="00B3629C">
        <w:rPr>
          <w:rFonts w:ascii="Century Gothic" w:eastAsia="Century Gothic" w:hAnsi="Century Gothic" w:cs="Century Gothic"/>
        </w:rPr>
        <w:t xml:space="preserve"> as Razões Recursais apresentadas.</w:t>
      </w:r>
    </w:p>
    <w:p w:rsidR="007C72EC" w:rsidRDefault="009E799D">
      <w:pPr>
        <w:spacing w:before="240" w:after="240" w:line="240" w:lineRule="auto"/>
        <w:ind w:left="0" w:hanging="2"/>
        <w:jc w:val="both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É a conclusão a que chegou a </w:t>
      </w:r>
      <w:proofErr w:type="spellStart"/>
      <w:r>
        <w:rPr>
          <w:rFonts w:ascii="Century Gothic" w:eastAsia="Century Gothic" w:hAnsi="Century Gothic" w:cs="Century Gothic"/>
        </w:rPr>
        <w:t>Pregoeira</w:t>
      </w:r>
      <w:proofErr w:type="spellEnd"/>
      <w:r>
        <w:rPr>
          <w:rFonts w:ascii="Century Gothic" w:eastAsia="Century Gothic" w:hAnsi="Century Gothic" w:cs="Century Gothic"/>
        </w:rPr>
        <w:t xml:space="preserve">. Os Autos serão encaminhados ao Exmo. </w:t>
      </w:r>
      <w:proofErr w:type="spellStart"/>
      <w:proofErr w:type="gramStart"/>
      <w:r>
        <w:rPr>
          <w:rFonts w:ascii="Century Gothic" w:eastAsia="Century Gothic" w:hAnsi="Century Gothic" w:cs="Century Gothic"/>
        </w:rPr>
        <w:t>SubProcurador</w:t>
      </w:r>
      <w:proofErr w:type="spellEnd"/>
      <w:proofErr w:type="gramEnd"/>
      <w:r>
        <w:rPr>
          <w:rFonts w:ascii="Century Gothic" w:eastAsia="Century Gothic" w:hAnsi="Century Gothic" w:cs="Century Gothic"/>
        </w:rPr>
        <w:t xml:space="preserve"> Geral em Assuntos Administrativos para apreciação e decisão final.                       </w:t>
      </w:r>
    </w:p>
    <w:p w:rsidR="0038269F" w:rsidRPr="0038269F" w:rsidRDefault="0038269F" w:rsidP="0038269F">
      <w:pPr>
        <w:pStyle w:val="normal0"/>
        <w:rPr>
          <w:lang w:eastAsia="en-US"/>
        </w:rPr>
      </w:pPr>
    </w:p>
    <w:p w:rsidR="007C72EC" w:rsidRDefault="009E799D" w:rsidP="00AB16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Century Gothic" w:eastAsia="Century Gothic" w:hAnsi="Century Gothic" w:cs="Century Gothic"/>
          <w:b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 xml:space="preserve">Recife, </w:t>
      </w:r>
      <w:r w:rsidR="00557694">
        <w:rPr>
          <w:rFonts w:ascii="Century Gothic" w:eastAsia="Century Gothic" w:hAnsi="Century Gothic" w:cs="Century Gothic"/>
          <w:b/>
          <w:color w:val="000000"/>
        </w:rPr>
        <w:t>2</w:t>
      </w:r>
      <w:r w:rsidR="009F2EA4">
        <w:rPr>
          <w:rFonts w:ascii="Century Gothic" w:eastAsia="Century Gothic" w:hAnsi="Century Gothic" w:cs="Century Gothic"/>
          <w:b/>
          <w:color w:val="000000"/>
        </w:rPr>
        <w:t>3</w:t>
      </w:r>
      <w:r>
        <w:rPr>
          <w:rFonts w:ascii="Century Gothic" w:eastAsia="Century Gothic" w:hAnsi="Century Gothic" w:cs="Century Gothic"/>
          <w:b/>
          <w:color w:val="000000"/>
        </w:rPr>
        <w:t xml:space="preserve"> de </w:t>
      </w:r>
      <w:r w:rsidR="00557694">
        <w:rPr>
          <w:rFonts w:ascii="Century Gothic" w:eastAsia="Century Gothic" w:hAnsi="Century Gothic" w:cs="Century Gothic"/>
          <w:b/>
          <w:color w:val="000000"/>
        </w:rPr>
        <w:t>outubro</w:t>
      </w:r>
      <w:r>
        <w:rPr>
          <w:rFonts w:ascii="Century Gothic" w:eastAsia="Century Gothic" w:hAnsi="Century Gothic" w:cs="Century Gothic"/>
          <w:b/>
          <w:color w:val="000000"/>
        </w:rPr>
        <w:t xml:space="preserve"> de 2023.</w:t>
      </w:r>
    </w:p>
    <w:p w:rsidR="00AB162C" w:rsidRDefault="00AB162C" w:rsidP="00AB162C">
      <w:pPr>
        <w:pStyle w:val="normal0"/>
        <w:rPr>
          <w:lang w:eastAsia="en-US"/>
        </w:rPr>
      </w:pPr>
    </w:p>
    <w:p w:rsidR="007C72EC" w:rsidRDefault="009E799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Century Gothic" w:eastAsia="Century Gothic" w:hAnsi="Century Gothic" w:cs="Century Gothic"/>
          <w:color w:val="000000"/>
        </w:rPr>
      </w:pPr>
      <w:proofErr w:type="spellStart"/>
      <w:r>
        <w:rPr>
          <w:rFonts w:ascii="Century Gothic" w:eastAsia="Century Gothic" w:hAnsi="Century Gothic" w:cs="Century Gothic"/>
          <w:b/>
          <w:color w:val="000000"/>
        </w:rPr>
        <w:t>Onélia</w:t>
      </w:r>
      <w:proofErr w:type="spellEnd"/>
      <w:r>
        <w:rPr>
          <w:rFonts w:ascii="Century Gothic" w:eastAsia="Century Gothic" w:hAnsi="Century Gothic" w:cs="Century Gothic"/>
          <w:b/>
          <w:color w:val="000000"/>
        </w:rPr>
        <w:t xml:space="preserve"> Carvalho de O. Holanda</w:t>
      </w:r>
    </w:p>
    <w:p w:rsidR="007C72EC" w:rsidRDefault="009E799D" w:rsidP="00AB16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Century Gothic" w:eastAsia="Century Gothic" w:hAnsi="Century Gothic" w:cs="Century Gothic"/>
        </w:rPr>
      </w:pPr>
      <w:proofErr w:type="spellStart"/>
      <w:r>
        <w:rPr>
          <w:rFonts w:ascii="Century Gothic" w:eastAsia="Century Gothic" w:hAnsi="Century Gothic" w:cs="Century Gothic"/>
          <w:color w:val="000000"/>
        </w:rPr>
        <w:t>Pregoeira</w:t>
      </w:r>
      <w:proofErr w:type="spellEnd"/>
      <w:r>
        <w:rPr>
          <w:rFonts w:ascii="Century Gothic" w:eastAsia="Century Gothic" w:hAnsi="Century Gothic" w:cs="Century Gothic"/>
          <w:color w:val="000000"/>
        </w:rPr>
        <w:t xml:space="preserve"> CPL</w:t>
      </w:r>
    </w:p>
    <w:sectPr w:rsidR="007C72EC" w:rsidSect="007C72EC">
      <w:headerReference w:type="default" r:id="rId8"/>
      <w:pgSz w:w="11906" w:h="16838"/>
      <w:pgMar w:top="1417" w:right="1701" w:bottom="851" w:left="1701" w:header="708" w:footer="708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4E10" w:rsidRDefault="00074E10" w:rsidP="00A61DD7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074E10" w:rsidRDefault="00074E10" w:rsidP="00A61DD7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pranq eco sans">
    <w:altName w:val="DejaVu Sans"/>
    <w:charset w:val="00"/>
    <w:family w:val="swiss"/>
    <w:pitch w:val="variable"/>
    <w:sig w:usb0="00000003" w:usb1="1000204A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4E10" w:rsidRDefault="00074E10" w:rsidP="00A61DD7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074E10" w:rsidRDefault="00074E10" w:rsidP="00A61DD7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72EC" w:rsidRDefault="009E799D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Arial" w:eastAsia="Arial" w:hAnsi="Arial" w:cs="Arial"/>
        <w:color w:val="000000"/>
        <w:sz w:val="24"/>
        <w:szCs w:val="24"/>
      </w:rPr>
    </w:pPr>
    <w:r>
      <w:rPr>
        <w:noProof/>
        <w:lang w:eastAsia="pt-BR"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2291715</wp:posOffset>
          </wp:positionH>
          <wp:positionV relativeFrom="paragraph">
            <wp:posOffset>-240027</wp:posOffset>
          </wp:positionV>
          <wp:extent cx="968375" cy="860425"/>
          <wp:effectExtent l="635" t="635" r="635" b="635"/>
          <wp:wrapSquare wrapText="bothSides" distT="0" distB="0" distL="0" distR="0"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375" cy="86042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  <a:prstDash val="solid"/>
                  </a:ln>
                </pic:spPr>
              </pic:pic>
            </a:graphicData>
          </a:graphic>
        </wp:anchor>
      </w:drawing>
    </w:r>
  </w:p>
  <w:p w:rsidR="007C72EC" w:rsidRDefault="007C72EC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Arial" w:eastAsia="Arial" w:hAnsi="Arial" w:cs="Arial"/>
        <w:color w:val="000000"/>
        <w:sz w:val="24"/>
        <w:szCs w:val="24"/>
      </w:rPr>
    </w:pPr>
  </w:p>
  <w:p w:rsidR="007C72EC" w:rsidRDefault="007C72EC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Arial" w:eastAsia="Arial" w:hAnsi="Arial" w:cs="Arial"/>
        <w:color w:val="000000"/>
        <w:sz w:val="24"/>
        <w:szCs w:val="24"/>
      </w:rPr>
    </w:pPr>
  </w:p>
  <w:p w:rsidR="007C72EC" w:rsidRDefault="007C72EC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Arial" w:eastAsia="Arial" w:hAnsi="Arial" w:cs="Arial"/>
        <w:color w:val="000000"/>
        <w:sz w:val="24"/>
        <w:szCs w:val="24"/>
      </w:rPr>
    </w:pPr>
  </w:p>
  <w:p w:rsidR="007C72EC" w:rsidRDefault="009E799D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Century Gothic" w:eastAsia="Century Gothic" w:hAnsi="Century Gothic" w:cs="Century Gothic"/>
        <w:color w:val="000000"/>
      </w:rPr>
    </w:pPr>
    <w:r>
      <w:rPr>
        <w:rFonts w:ascii="Century Gothic" w:eastAsia="Century Gothic" w:hAnsi="Century Gothic" w:cs="Century Gothic"/>
        <w:b/>
        <w:color w:val="000000"/>
      </w:rPr>
      <w:t>MINISTÉRIO PÚBLICO DO ESTADO DE PERNAMBUCO</w:t>
    </w:r>
  </w:p>
  <w:p w:rsidR="007C72EC" w:rsidRDefault="009E799D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Century Gothic" w:eastAsia="Century Gothic" w:hAnsi="Century Gothic" w:cs="Century Gothic"/>
        <w:color w:val="000000"/>
      </w:rPr>
    </w:pPr>
    <w:r>
      <w:rPr>
        <w:rFonts w:ascii="Century Gothic" w:eastAsia="Century Gothic" w:hAnsi="Century Gothic" w:cs="Century Gothic"/>
        <w:b/>
        <w:color w:val="000000"/>
      </w:rPr>
      <w:t>Procuradoria-Geral de Justiça</w:t>
    </w:r>
  </w:p>
  <w:p w:rsidR="007C72EC" w:rsidRDefault="009E799D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Century Gothic" w:eastAsia="Century Gothic" w:hAnsi="Century Gothic" w:cs="Century Gothic"/>
        <w:color w:val="000000"/>
      </w:rPr>
    </w:pPr>
    <w:r>
      <w:rPr>
        <w:rFonts w:ascii="Century Gothic" w:eastAsia="Century Gothic" w:hAnsi="Century Gothic" w:cs="Century Gothic"/>
        <w:b/>
        <w:color w:val="000000"/>
      </w:rPr>
      <w:t>COMISSÃO PERMANENTE DE LICITAÇÃO – CPL</w:t>
    </w:r>
  </w:p>
  <w:p w:rsidR="007C72EC" w:rsidRDefault="007C72EC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rFonts w:ascii="Spranq eco sans" w:eastAsia="Spranq eco sans" w:hAnsi="Spranq eco sans" w:cs="Spranq eco sans"/>
        <w:color w:val="000000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624D85"/>
    <w:multiLevelType w:val="multilevel"/>
    <w:tmpl w:val="6448BD66"/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1">
    <w:nsid w:val="6E033656"/>
    <w:multiLevelType w:val="hybridMultilevel"/>
    <w:tmpl w:val="A5E85BE4"/>
    <w:lvl w:ilvl="0" w:tplc="041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72EC"/>
    <w:rsid w:val="00004AF6"/>
    <w:rsid w:val="00043644"/>
    <w:rsid w:val="00074E10"/>
    <w:rsid w:val="0007744D"/>
    <w:rsid w:val="000E7313"/>
    <w:rsid w:val="00154237"/>
    <w:rsid w:val="00176E04"/>
    <w:rsid w:val="001961A2"/>
    <w:rsid w:val="002C7854"/>
    <w:rsid w:val="002F7C5A"/>
    <w:rsid w:val="003447AD"/>
    <w:rsid w:val="003716CA"/>
    <w:rsid w:val="0038269F"/>
    <w:rsid w:val="00440755"/>
    <w:rsid w:val="004410CF"/>
    <w:rsid w:val="00452CB1"/>
    <w:rsid w:val="004E2635"/>
    <w:rsid w:val="00557694"/>
    <w:rsid w:val="0057130F"/>
    <w:rsid w:val="00583367"/>
    <w:rsid w:val="005A24F2"/>
    <w:rsid w:val="006359EF"/>
    <w:rsid w:val="006A2C3A"/>
    <w:rsid w:val="006A4431"/>
    <w:rsid w:val="00703D10"/>
    <w:rsid w:val="00726632"/>
    <w:rsid w:val="00736DDB"/>
    <w:rsid w:val="00794A04"/>
    <w:rsid w:val="007C3AB0"/>
    <w:rsid w:val="007C72EC"/>
    <w:rsid w:val="008337CD"/>
    <w:rsid w:val="0086697A"/>
    <w:rsid w:val="009E799D"/>
    <w:rsid w:val="009F2EA4"/>
    <w:rsid w:val="00A56EAC"/>
    <w:rsid w:val="00A61DD7"/>
    <w:rsid w:val="00A91B57"/>
    <w:rsid w:val="00AB162C"/>
    <w:rsid w:val="00B337EF"/>
    <w:rsid w:val="00B3629C"/>
    <w:rsid w:val="00B5274B"/>
    <w:rsid w:val="00B675EC"/>
    <w:rsid w:val="00BD2736"/>
    <w:rsid w:val="00BF7F29"/>
    <w:rsid w:val="00C07C5D"/>
    <w:rsid w:val="00CC26AF"/>
    <w:rsid w:val="00D9727F"/>
    <w:rsid w:val="00DA34D0"/>
    <w:rsid w:val="00DB0D28"/>
    <w:rsid w:val="00DC0CEC"/>
    <w:rsid w:val="00DC2CE5"/>
    <w:rsid w:val="00E51936"/>
    <w:rsid w:val="00E926E3"/>
    <w:rsid w:val="00EA1BDC"/>
    <w:rsid w:val="00FE00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normal0"/>
    <w:rsid w:val="00B3793A"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rsid w:val="00B3793A"/>
    <w:pPr>
      <w:keepNext/>
      <w:spacing w:before="240" w:after="6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rsid w:val="00B3793A"/>
    <w:pPr>
      <w:keepNext/>
      <w:suppressAutoHyphens w:val="0"/>
      <w:spacing w:after="0" w:line="360" w:lineRule="auto"/>
      <w:ind w:left="1440" w:hanging="360"/>
      <w:jc w:val="center"/>
      <w:outlineLvl w:val="1"/>
    </w:pPr>
    <w:rPr>
      <w:rFonts w:ascii="Arial" w:eastAsia="Times New Roman" w:hAnsi="Arial" w:cs="Arial"/>
      <w:b/>
      <w:sz w:val="24"/>
      <w:szCs w:val="20"/>
      <w:lang w:eastAsia="zh-CN"/>
    </w:rPr>
  </w:style>
  <w:style w:type="paragraph" w:styleId="Ttulo3">
    <w:name w:val="heading 3"/>
    <w:basedOn w:val="normal0"/>
    <w:next w:val="normal0"/>
    <w:rsid w:val="00B3793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B3793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rsid w:val="00B3793A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0"/>
    <w:next w:val="normal0"/>
    <w:rsid w:val="00B3793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"/>
    <w:rsid w:val="007C72EC"/>
  </w:style>
  <w:style w:type="table" w:customStyle="1" w:styleId="TableNormal">
    <w:name w:val="Table Normal"/>
    <w:rsid w:val="007C72E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B3793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"/>
    <w:rsid w:val="00277E26"/>
  </w:style>
  <w:style w:type="table" w:customStyle="1" w:styleId="TableNormal0">
    <w:name w:val="Table Normal"/>
    <w:rsid w:val="00277E2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B3793A"/>
  </w:style>
  <w:style w:type="table" w:customStyle="1" w:styleId="TableNormal1">
    <w:name w:val="Table Normal"/>
    <w:rsid w:val="00B3793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qFormat/>
    <w:rsid w:val="00B3793A"/>
    <w:pPr>
      <w:spacing w:after="0" w:line="240" w:lineRule="auto"/>
    </w:pPr>
  </w:style>
  <w:style w:type="character" w:customStyle="1" w:styleId="CabealhoChar">
    <w:name w:val="Cabeçalho Char"/>
    <w:basedOn w:val="Fontepargpadro"/>
    <w:rsid w:val="00B3793A"/>
    <w:rPr>
      <w:w w:val="100"/>
      <w:position w:val="-1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rsid w:val="00B3793A"/>
    <w:pPr>
      <w:spacing w:after="0" w:line="240" w:lineRule="auto"/>
    </w:pPr>
  </w:style>
  <w:style w:type="character" w:customStyle="1" w:styleId="RodapChar">
    <w:name w:val="Rodapé Char"/>
    <w:basedOn w:val="Fontepargpadro"/>
    <w:rsid w:val="00B3793A"/>
    <w:rPr>
      <w:w w:val="100"/>
      <w:position w:val="-1"/>
      <w:effect w:val="none"/>
      <w:vertAlign w:val="baseline"/>
      <w:cs w:val="0"/>
      <w:em w:val="none"/>
    </w:rPr>
  </w:style>
  <w:style w:type="paragraph" w:styleId="Textodebalo">
    <w:name w:val="Balloon Text"/>
    <w:basedOn w:val="Normal"/>
    <w:qFormat/>
    <w:rsid w:val="00B379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rsid w:val="00B3793A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qFormat/>
    <w:rsid w:val="00B3793A"/>
    <w:pPr>
      <w:ind w:left="720"/>
      <w:contextualSpacing/>
    </w:pPr>
  </w:style>
  <w:style w:type="paragraph" w:customStyle="1" w:styleId="Padro">
    <w:name w:val="Padrão"/>
    <w:rsid w:val="00B3793A"/>
    <w:pPr>
      <w:tabs>
        <w:tab w:val="left" w:pos="708"/>
      </w:tabs>
      <w:spacing w:line="100" w:lineRule="atLeast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paragraph" w:styleId="NormalWeb">
    <w:name w:val="Normal (Web)"/>
    <w:basedOn w:val="Padro"/>
    <w:uiPriority w:val="99"/>
    <w:rsid w:val="00B3793A"/>
    <w:pPr>
      <w:spacing w:before="28" w:after="119"/>
    </w:pPr>
    <w:rPr>
      <w:sz w:val="24"/>
      <w:szCs w:val="24"/>
    </w:rPr>
  </w:style>
  <w:style w:type="paragraph" w:styleId="Recuodecorpodetexto">
    <w:name w:val="Body Text Indent"/>
    <w:basedOn w:val="Normal"/>
    <w:rsid w:val="00B3793A"/>
    <w:pPr>
      <w:suppressAutoHyphens w:val="0"/>
      <w:spacing w:after="0" w:line="240" w:lineRule="auto"/>
      <w:ind w:firstLine="1418"/>
      <w:jc w:val="both"/>
    </w:pPr>
    <w:rPr>
      <w:rFonts w:ascii="Arial" w:eastAsia="Times New Roman" w:hAnsi="Arial" w:cs="Arial"/>
      <w:szCs w:val="20"/>
      <w:lang w:eastAsia="zh-CN"/>
    </w:rPr>
  </w:style>
  <w:style w:type="character" w:customStyle="1" w:styleId="RecuodecorpodetextoChar">
    <w:name w:val="Recuo de corpo de texto Char"/>
    <w:basedOn w:val="Fontepargpadro"/>
    <w:rsid w:val="00B3793A"/>
    <w:rPr>
      <w:rFonts w:ascii="Arial" w:eastAsia="Times New Roman" w:hAnsi="Arial" w:cs="Arial"/>
      <w:w w:val="100"/>
      <w:position w:val="-1"/>
      <w:szCs w:val="20"/>
      <w:effect w:val="none"/>
      <w:vertAlign w:val="baseline"/>
      <w:cs w:val="0"/>
      <w:em w:val="none"/>
      <w:lang w:eastAsia="zh-CN"/>
    </w:rPr>
  </w:style>
  <w:style w:type="paragraph" w:styleId="Corpodetexto">
    <w:name w:val="Body Text"/>
    <w:basedOn w:val="Normal"/>
    <w:qFormat/>
    <w:rsid w:val="00B3793A"/>
    <w:pPr>
      <w:spacing w:after="120"/>
    </w:pPr>
  </w:style>
  <w:style w:type="character" w:customStyle="1" w:styleId="CorpodetextoChar">
    <w:name w:val="Corpo de texto Char"/>
    <w:basedOn w:val="Fontepargpadro"/>
    <w:rsid w:val="00B3793A"/>
    <w:rPr>
      <w:w w:val="100"/>
      <w:position w:val="-1"/>
      <w:effect w:val="none"/>
      <w:vertAlign w:val="baseline"/>
      <w:cs w:val="0"/>
      <w:em w:val="none"/>
    </w:rPr>
  </w:style>
  <w:style w:type="paragraph" w:customStyle="1" w:styleId="Corpodetexto31">
    <w:name w:val="Corpo de texto 31"/>
    <w:basedOn w:val="Normal"/>
    <w:rsid w:val="00B3793A"/>
    <w:pPr>
      <w:suppressAutoHyphens w:val="0"/>
      <w:spacing w:after="0" w:line="360" w:lineRule="auto"/>
      <w:jc w:val="both"/>
    </w:pPr>
    <w:rPr>
      <w:rFonts w:ascii="Arial" w:eastAsia="Times New Roman" w:hAnsi="Arial" w:cs="Arial"/>
      <w:sz w:val="24"/>
      <w:szCs w:val="20"/>
      <w:lang w:eastAsia="zh-CN"/>
    </w:rPr>
  </w:style>
  <w:style w:type="character" w:customStyle="1" w:styleId="Ttulo2Char">
    <w:name w:val="Título 2 Char"/>
    <w:basedOn w:val="Fontepargpadro"/>
    <w:rsid w:val="00B3793A"/>
    <w:rPr>
      <w:rFonts w:ascii="Arial" w:eastAsia="Times New Roman" w:hAnsi="Arial" w:cs="Arial"/>
      <w:b/>
      <w:w w:val="100"/>
      <w:position w:val="-1"/>
      <w:sz w:val="24"/>
      <w:szCs w:val="20"/>
      <w:effect w:val="none"/>
      <w:vertAlign w:val="baseline"/>
      <w:cs w:val="0"/>
      <w:em w:val="none"/>
      <w:lang w:eastAsia="zh-CN"/>
    </w:rPr>
  </w:style>
  <w:style w:type="character" w:styleId="Hyperlink">
    <w:name w:val="Hyperlink"/>
    <w:rsid w:val="00B3793A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normal3">
    <w:name w:val="normal"/>
    <w:rsid w:val="00B3793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color w:val="00000A"/>
      <w:position w:val="-1"/>
    </w:rPr>
  </w:style>
  <w:style w:type="character" w:styleId="nfase">
    <w:name w:val="Emphasis"/>
    <w:basedOn w:val="Fontepargpadro"/>
    <w:uiPriority w:val="20"/>
    <w:qFormat/>
    <w:rsid w:val="00B3793A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Ttulo1Char">
    <w:name w:val="Título 1 Char"/>
    <w:basedOn w:val="Fontepargpadro"/>
    <w:rsid w:val="00B3793A"/>
    <w:rPr>
      <w:rFonts w:ascii="Cambria" w:eastAsia="Times New Roman" w:hAnsi="Cambria" w:cs="Times New Roman"/>
      <w:b/>
      <w:bCs/>
      <w:w w:val="100"/>
      <w:kern w:val="32"/>
      <w:position w:val="-1"/>
      <w:sz w:val="32"/>
      <w:szCs w:val="32"/>
      <w:effect w:val="none"/>
      <w:vertAlign w:val="baseline"/>
      <w:cs w:val="0"/>
      <w:em w:val="none"/>
      <w:lang w:eastAsia="en-US"/>
    </w:rPr>
  </w:style>
  <w:style w:type="paragraph" w:styleId="Subttulo">
    <w:name w:val="Subtitle"/>
    <w:basedOn w:val="Normal"/>
    <w:next w:val="Normal"/>
    <w:rsid w:val="007C72E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sid w:val="00B3793A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1"/>
    <w:rsid w:val="00277E2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character" w:customStyle="1" w:styleId="fontstyle01">
    <w:name w:val="fontstyle01"/>
    <w:basedOn w:val="Fontepargpadro"/>
    <w:rsid w:val="001A19D8"/>
    <w:rPr>
      <w:rFonts w:ascii="Verdana" w:hAnsi="Verdana" w:hint="default"/>
      <w:b w:val="0"/>
      <w:bCs w:val="0"/>
      <w:i w:val="0"/>
      <w:iCs w:val="0"/>
      <w:color w:val="000000"/>
      <w:sz w:val="18"/>
      <w:szCs w:val="18"/>
    </w:rPr>
  </w:style>
  <w:style w:type="character" w:styleId="Forte">
    <w:name w:val="Strong"/>
    <w:basedOn w:val="Fontepargpadro"/>
    <w:uiPriority w:val="22"/>
    <w:qFormat/>
    <w:rsid w:val="003716C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939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58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83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2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8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4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9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2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28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9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5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36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43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32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6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3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7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4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0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5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7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3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19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9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4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5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DE+HTfyQ4pz+aqriFxEJHBIz5g==">CgMxLjA4AHIhMVFOQUhpNV9TZ3pURFliejZ5Ylk0WDJ4MVpjMHdrWHZU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481</TotalTime>
  <Pages>5</Pages>
  <Words>1678</Words>
  <Characters>9067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onelia</dc:creator>
  <cp:lastModifiedBy>nbezerra</cp:lastModifiedBy>
  <cp:revision>21</cp:revision>
  <cp:lastPrinted>2023-10-23T16:14:00Z</cp:lastPrinted>
  <dcterms:created xsi:type="dcterms:W3CDTF">2022-02-07T14:10:00Z</dcterms:created>
  <dcterms:modified xsi:type="dcterms:W3CDTF">2023-10-23T16:18:00Z</dcterms:modified>
</cp:coreProperties>
</file>