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EXTRATO DA ATA DA 27ª SESSÃO ORDINÁRIA DO CONSELHO SUPERIOR DO MINISTÉRIO PÚBLICO</w:t>
      </w:r>
    </w:p>
    <w:p>
      <w:pPr>
        <w:pStyle w:val="Normal"/>
        <w:spacing w:lineRule="auto" w:line="240"/>
        <w:jc w:val="both"/>
        <w:rPr>
          <w:rFonts w:eastAsia="Times New Roman" w:cs="Times New Roman"/>
          <w:color w:val="000000"/>
          <w:sz w:val="24"/>
          <w:szCs w:val="24"/>
          <w:lang w:val="pt-BR"/>
        </w:rPr>
      </w:pPr>
      <w:r>
        <w:rPr>
          <w:rFonts w:eastAsia="Times New Roman" w:cs="Times New Roman"/>
          <w:color w:val="000000"/>
          <w:sz w:val="24"/>
          <w:szCs w:val="24"/>
          <w:lang w:val="pt-BR"/>
        </w:rPr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Data</w:t>
      </w:r>
      <w:r>
        <w:rPr>
          <w:color w:val="000000"/>
          <w:sz w:val="24"/>
          <w:szCs w:val="24"/>
          <w:lang w:val="pt-BR"/>
        </w:rPr>
        <w:t xml:space="preserve">: 31 de julho de 2019 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Horário</w:t>
      </w:r>
      <w:r>
        <w:rPr>
          <w:color w:val="000000"/>
          <w:sz w:val="24"/>
          <w:szCs w:val="24"/>
          <w:lang w:val="pt-BR"/>
        </w:rPr>
        <w:t>: 12:00min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Local</w:t>
      </w:r>
      <w:r>
        <w:rPr>
          <w:color w:val="000000"/>
          <w:sz w:val="24"/>
          <w:szCs w:val="24"/>
          <w:lang w:val="pt-BR"/>
        </w:rPr>
        <w:t>: Salão dos Órgãos Colegiados da Procuradoria Geral de Justiça, localizado na Rua do Imperador D. Pedro II, n.º 473, Bairro de Santo Antônio, Recife/PE.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Presidência</w:t>
      </w:r>
      <w:r>
        <w:rPr>
          <w:color w:val="000000"/>
          <w:sz w:val="24"/>
          <w:szCs w:val="24"/>
          <w:lang w:val="pt-BR"/>
        </w:rPr>
        <w:t>: Dr. Valdir Barbosa Junior</w:t>
      </w:r>
      <w:r>
        <w:rPr>
          <w:b/>
          <w:color w:val="000000"/>
          <w:sz w:val="24"/>
          <w:szCs w:val="24"/>
          <w:lang w:val="pt-BR"/>
        </w:rPr>
        <w:t xml:space="preserve">, </w:t>
      </w:r>
      <w:r>
        <w:rPr>
          <w:color w:val="000000"/>
          <w:sz w:val="24"/>
          <w:szCs w:val="24"/>
          <w:lang w:val="pt-BR"/>
        </w:rPr>
        <w:t xml:space="preserve">Subprocurador - Geral em assuntos Administrativos. 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Conselheiros Presentes</w:t>
      </w:r>
      <w:r>
        <w:rPr>
          <w:color w:val="000000"/>
          <w:sz w:val="24"/>
          <w:szCs w:val="24"/>
          <w:lang w:val="pt-BR"/>
        </w:rPr>
        <w:t>: os Drs.</w:t>
      </w:r>
      <w:r>
        <w:rPr>
          <w:color w:val="000000"/>
          <w:sz w:val="24"/>
          <w:szCs w:val="24"/>
          <w:lang w:val="pt-BR" w:bidi="ar-SA"/>
        </w:rPr>
        <w:t xml:space="preserve"> ALEXANDRE AUGUSTO BEZERRA, Corregedor-Geral, ROBERTO BURLAMAQUE CATUNDA SOBRINHO (substituindo STANLEY ARAÚJO CORREIA),</w:t>
      </w:r>
      <w:r>
        <w:rPr>
          <w:color w:val="000000"/>
          <w:sz w:val="24"/>
          <w:lang w:val="pt-BR" w:bidi="ar-SA"/>
        </w:rPr>
        <w:t xml:space="preserve"> CARLOS ALBERTO PEREIRA VITÓRIO, LUCIANA MACIEL DANTAS FIGUEIREDO (substituindo PAULO ROBERTO LAPENDA FIGUEIROA), MAR</w:t>
      </w:r>
      <w:r>
        <w:rPr>
          <w:color w:val="000000"/>
          <w:sz w:val="24"/>
          <w:lang w:val="pt-BR" w:bidi="ar-SA"/>
        </w:rPr>
        <w:t xml:space="preserve">IA LIZANDRA LIRA DE CARVALHO, RINALDO JORGE DA SILVA </w:t>
      </w:r>
      <w:r>
        <w:rPr>
          <w:color w:val="000000"/>
          <w:sz w:val="24"/>
          <w:lang w:val="pt-BR" w:bidi="ar-SA"/>
        </w:rPr>
        <w:t>e</w:t>
      </w:r>
      <w:r>
        <w:rPr>
          <w:color w:val="000000"/>
          <w:sz w:val="24"/>
          <w:szCs w:val="24"/>
          <w:lang w:val="pt-BR" w:bidi="ar-SA"/>
        </w:rPr>
        <w:t xml:space="preserve"> FERNANDO FALCÃO FERRAZ FILHO.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Representante da AMPPE:</w:t>
      </w:r>
      <w:r>
        <w:rPr>
          <w:color w:val="000000"/>
          <w:sz w:val="24"/>
          <w:szCs w:val="24"/>
          <w:lang w:val="pt-BR"/>
        </w:rPr>
        <w:t xml:space="preserve"> Dr. Marcos Carvalho.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b/>
          <w:color w:val="000000"/>
          <w:sz w:val="24"/>
          <w:szCs w:val="24"/>
          <w:lang w:val="pt-BR"/>
        </w:rPr>
        <w:t>Secretário:</w:t>
      </w:r>
      <w:r>
        <w:rPr>
          <w:color w:val="000000"/>
          <w:sz w:val="24"/>
          <w:szCs w:val="24"/>
          <w:lang w:val="pt-BR"/>
        </w:rPr>
        <w:t xml:space="preserve"> Dr. Luís Sávio Loureiro da Silveira.</w:t>
      </w:r>
    </w:p>
    <w:p>
      <w:pPr>
        <w:pStyle w:val="Normal"/>
        <w:spacing w:lineRule="auto" w:line="240"/>
        <w:jc w:val="both"/>
        <w:rPr>
          <w:color w:val="000000"/>
        </w:rPr>
      </w:pPr>
      <w:r>
        <w:rPr>
          <w:color w:val="000000"/>
          <w:sz w:val="24"/>
          <w:szCs w:val="24"/>
          <w:lang w:val="pt-BR"/>
        </w:rPr>
        <w:t xml:space="preserve">Dando início aos trabalhos o Presidente do Conselho Superior, em exercício, Dr. Valdir Barbosa </w:t>
      </w:r>
      <w:r>
        <w:rPr>
          <w:color w:val="000000"/>
          <w:sz w:val="24"/>
          <w:szCs w:val="24"/>
          <w:lang w:val="pt-BR"/>
        </w:rPr>
        <w:t>Júnior</w:t>
      </w:r>
      <w:r>
        <w:rPr>
          <w:color w:val="000000"/>
          <w:sz w:val="24"/>
          <w:szCs w:val="24"/>
          <w:lang w:val="pt-BR"/>
        </w:rPr>
        <w:t>, cumprimentou todos os presentes. Solicitou que o Secretário desse prosseguimento com a verificação da constituição do quorum regimental. Tendo o Secretário constatado o comparecimento dos Conselheiros acima mencionados, ausência</w:t>
      </w:r>
      <w:r>
        <w:rPr>
          <w:color w:val="000000"/>
          <w:sz w:val="24"/>
          <w:szCs w:val="24"/>
          <w:lang w:val="pt-BR"/>
        </w:rPr>
        <w:t>s</w:t>
      </w:r>
      <w:r>
        <w:rPr>
          <w:color w:val="000000"/>
          <w:sz w:val="24"/>
          <w:szCs w:val="24"/>
          <w:lang w:val="pt-BR"/>
        </w:rPr>
        <w:t xml:space="preserve"> justificada de </w:t>
      </w:r>
      <w:r>
        <w:rPr>
          <w:color w:val="000000"/>
          <w:sz w:val="24"/>
          <w:lang w:val="pt-BR" w:bidi="ar-SA"/>
        </w:rPr>
        <w:t xml:space="preserve">Dra. Sineide Maria de Barros Silva Canuto, por estar escalada para sessão do TJPE </w:t>
      </w:r>
      <w:r>
        <w:rPr>
          <w:color w:val="000000"/>
          <w:sz w:val="24"/>
          <w:lang w:val="pt-BR" w:bidi="ar-SA"/>
        </w:rPr>
        <w:t>e</w:t>
      </w:r>
      <w:r>
        <w:rPr>
          <w:color w:val="000000"/>
          <w:sz w:val="24"/>
          <w:szCs w:val="24"/>
          <w:lang w:val="pt-BR"/>
        </w:rPr>
        <w:t xml:space="preserve"> </w:t>
      </w:r>
      <w:r>
        <w:rPr>
          <w:color w:val="000000"/>
          <w:sz w:val="24"/>
          <w:szCs w:val="24"/>
          <w:lang w:val="pt-BR" w:bidi="ar-SA"/>
        </w:rPr>
        <w:t>Dr. Francisco Dirceu Barros, por compromisso institucional.</w:t>
      </w:r>
      <w:r>
        <w:rPr>
          <w:color w:val="000000"/>
          <w:sz w:val="24"/>
          <w:szCs w:val="24"/>
          <w:lang w:val="pt-BR"/>
        </w:rPr>
        <w:t xml:space="preserve"> Com a correspondente </w:t>
      </w:r>
      <w:r>
        <w:rPr>
          <w:rFonts w:ascii="Arial" w:hAnsi="Arial"/>
          <w:color w:val="000000"/>
          <w:sz w:val="24"/>
          <w:szCs w:val="24"/>
          <w:lang w:val="pt-BR"/>
        </w:rPr>
        <w:t>constituição do quorum regimental foi passada a palavra ao Presidente em exercício, que declarou aberta a sessão, passando a tratar dos assuntos previstos em pauta:</w:t>
      </w:r>
      <w:r>
        <w:rPr>
          <w:rFonts w:ascii="Arial" w:hAnsi="Arial"/>
          <w:b/>
          <w:color w:val="000000"/>
          <w:sz w:val="24"/>
          <w:szCs w:val="24"/>
          <w:lang w:val="pt-BR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  <w:lang w:val="pt-BR"/>
        </w:rPr>
        <w:t xml:space="preserve">I - Comunicações da Presidência;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II - Aprovação de Ata; III – Comunicações diversas; </w:t>
      </w:r>
      <w:r>
        <w:rPr>
          <w:rFonts w:ascii="Arial" w:hAnsi="Arial"/>
          <w:b/>
          <w:bCs/>
          <w:color w:val="000000"/>
          <w:sz w:val="24"/>
          <w:szCs w:val="24"/>
          <w:u w:val="single"/>
          <w:lang w:val="pt-BR"/>
        </w:rPr>
        <w:t>III.I – Instaurações de Inquéritos Civis e PP’s</w:t>
      </w:r>
      <w:r>
        <w:rPr>
          <w:rFonts w:ascii="Arial" w:hAnsi="Arial"/>
          <w:b/>
          <w:bCs/>
          <w:color w:val="000000"/>
          <w:sz w:val="24"/>
          <w:szCs w:val="24"/>
          <w:lang w:val="pt-BR"/>
        </w:rPr>
        <w:t xml:space="preserve">: </w:t>
      </w:r>
      <w:r>
        <w:rPr>
          <w:rFonts w:ascii="Arial" w:hAnsi="Arial"/>
          <w:b/>
          <w:bCs/>
          <w:color w:val="000000"/>
          <w:sz w:val="24"/>
          <w:szCs w:val="24"/>
        </w:rPr>
        <w:t>Doc. 11351072</w:t>
        <w:br/>
        <w:t xml:space="preserve"> Doc. 11351115; Doc. 11351125; Doc. 11351141; Doc. 11336374; SIIG: 0004740-6/2019; SIIG: 0004738-4/2019; Doc. 11348930;Doc. 11381676; Doc. 11297928; Doc. 11381954; Doc. 11375812; Doc. 11361840; Doc.11368344; Doc. 11368001; Doc. 11353175; Doc. 11355337; Doc. 11355465; Doc. 11355618; Doc. 11353749; Doc. 11347431; Doc. 11349631; Doc. 11274427; Doc. 11350659; Doc. 11384365; Doc. 11362297; Doc. 11328378; Doc. 11328317; Doc. 11328199; Doc. 11344491; Doc. 11351528. </w:t>
      </w:r>
      <w:r>
        <w:rPr>
          <w:rFonts w:ascii="Arial" w:hAnsi="Arial"/>
          <w:b/>
          <w:bCs/>
          <w:color w:val="000000"/>
          <w:sz w:val="24"/>
          <w:szCs w:val="24"/>
          <w:u w:val="single"/>
        </w:rPr>
        <w:t>III.II – Conversão de NF’s em PP’s, PP’s em IC’s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: Doc. 11331493; Doc. 11302043; Doc. 11381978; Doc. 11350373; Doc. 11351178; Doc.11356919; Doc.11357985. </w:t>
      </w:r>
      <w:r>
        <w:rPr>
          <w:rFonts w:ascii="Arial" w:hAnsi="Arial"/>
          <w:b/>
          <w:bCs/>
          <w:color w:val="000000"/>
          <w:sz w:val="24"/>
          <w:szCs w:val="24"/>
          <w:u w:val="single"/>
        </w:rPr>
        <w:t xml:space="preserve">III.III – Prorrogação de Prazo: </w:t>
      </w:r>
      <w:r>
        <w:rPr>
          <w:rFonts w:ascii="Arial" w:hAnsi="Arial"/>
          <w:b/>
          <w:bCs/>
          <w:color w:val="000000"/>
          <w:sz w:val="24"/>
          <w:szCs w:val="24"/>
        </w:rPr>
        <w:t>Doc. 11351240; Doc. 11331400; Doc. 11331379; Doc. 11331381; Doc. 11331380; SIIG: 0004606-7/2019; SIIG: 0004518-0/2019; SIIG: 0004517-8/2019; SIIG: 0004742-8/2019; Doc. 113172; Doc. 11315437; Doc. 11315561; Doc. 11325582; Doc. 11320830; Doc. 11309247; Doc. 11320934; Doc. 11321566; SIIG: 0004769-8/2019; SIIG: 004772-2/2019; Doc. 11267173; SIIG. 0004829-5/2019; Doc. 11369875; Doc. 11348971; Doc. 11314674; Doc. 11314714; Doc. 11298914; Doc. 11201484; Doc. 11314468; Doc. 11196484; Doc. 11314551; Doc. 11314502; Doc. 11314515; Doc. 11298947;</w:t>
      </w:r>
      <w:r>
        <w:rPr>
          <w:rFonts w:ascii="Arial" w:hAnsi="Arial"/>
          <w:b/>
          <w:color w:val="000000"/>
          <w:sz w:val="24"/>
          <w:szCs w:val="24"/>
        </w:rPr>
        <w:t xml:space="preserve">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Doc. 11298948; Doc. 11381755; Doc. 11368635; Doc. 9974684; Doc. 11374627; Doc. 11342327; Doc. 11384676. </w:t>
      </w:r>
      <w:r>
        <w:rPr>
          <w:rFonts w:ascii="Arial" w:hAnsi="Arial"/>
          <w:b/>
          <w:bCs/>
          <w:color w:val="000000"/>
          <w:sz w:val="24"/>
          <w:szCs w:val="24"/>
          <w:u w:val="single"/>
        </w:rPr>
        <w:t>III.IV – Termo de Ajustamento de Conduta</w:t>
      </w:r>
      <w:r>
        <w:rPr>
          <w:rFonts w:ascii="Arial" w:hAnsi="Arial"/>
          <w:b/>
          <w:bCs/>
          <w:color w:val="000000"/>
          <w:sz w:val="24"/>
          <w:szCs w:val="24"/>
          <w:u w:val="none"/>
        </w:rPr>
        <w:t xml:space="preserve">: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Doc. 11351225, Doc. 11383947, Doc. 11383465, Doc. 11073174; </w:t>
      </w:r>
      <w:r>
        <w:rPr>
          <w:rFonts w:ascii="Arial" w:hAnsi="Arial"/>
          <w:b/>
          <w:bCs/>
          <w:color w:val="000000"/>
          <w:sz w:val="24"/>
          <w:szCs w:val="24"/>
          <w:u w:val="single"/>
        </w:rPr>
        <w:t>III. V – Declínio de Atribuição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: Doc. 11360874. </w:t>
      </w:r>
      <w:r>
        <w:rPr>
          <w:rFonts w:ascii="Arial" w:hAnsi="Arial"/>
          <w:b/>
          <w:bCs/>
          <w:color w:val="000000"/>
          <w:sz w:val="24"/>
          <w:szCs w:val="24"/>
          <w:u w:val="single"/>
        </w:rPr>
        <w:t xml:space="preserve">III. VI – Recomendação: 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Doc. 11305142; Doc. 11383496. III. VII – Diversos: Doc. 11340416. </w:t>
      </w:r>
      <w:r>
        <w:rPr>
          <w:rFonts w:ascii="Arial" w:hAnsi="Arial"/>
          <w:b/>
          <w:bCs/>
          <w:color w:val="000000"/>
          <w:sz w:val="24"/>
          <w:szCs w:val="24"/>
          <w:u w:val="single"/>
        </w:rPr>
        <w:t>IV – Processos de Distribuições Anteriores</w:t>
      </w:r>
      <w:r>
        <w:rPr>
          <w:rFonts w:ascii="Arial" w:hAnsi="Arial"/>
          <w:b/>
          <w:bCs/>
          <w:color w:val="000000"/>
          <w:sz w:val="24"/>
          <w:szCs w:val="24"/>
        </w:rPr>
        <w:t xml:space="preserve">. </w:t>
      </w:r>
      <w:r>
        <w:rPr>
          <w:rFonts w:ascii="Arial" w:hAnsi="Arial"/>
          <w:b/>
          <w:bCs/>
          <w:color w:val="000000"/>
          <w:sz w:val="24"/>
          <w:szCs w:val="24"/>
          <w:lang w:val="pt-BR"/>
        </w:rPr>
        <w:t xml:space="preserve">I - Comunicações da Presidência: sem comunicação. </w:t>
      </w:r>
      <w:r>
        <w:rPr>
          <w:rFonts w:ascii="Arial" w:hAnsi="Arial"/>
          <w:b/>
          <w:bCs/>
          <w:color w:val="000000"/>
          <w:sz w:val="24"/>
          <w:szCs w:val="24"/>
          <w:u w:val="single"/>
          <w:lang w:val="pt-BR"/>
        </w:rPr>
        <w:t>II - Aprovação de Ata</w:t>
      </w:r>
      <w:r>
        <w:rPr>
          <w:rFonts w:ascii="Arial" w:hAnsi="Arial"/>
          <w:b/>
          <w:bCs/>
          <w:color w:val="000000"/>
          <w:sz w:val="24"/>
          <w:szCs w:val="24"/>
          <w:lang w:val="pt-BR"/>
        </w:rPr>
        <w:t>: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color w:val="000000"/>
          <w:sz w:val="24"/>
          <w:szCs w:val="24"/>
          <w:lang w:val="pt-BR"/>
        </w:rPr>
        <w:t>Colocada em apreciação o extrato da Ata da 26ª Sessão Ordinária do CSMP, realizada em 17/07/2019. Foi aberta à discussão. Colocada(s) em votação, aprovada(s), à unanimidade.</w:t>
      </w:r>
      <w:r>
        <w:rPr>
          <w:b/>
          <w:bCs/>
          <w:color w:val="000000"/>
          <w:sz w:val="24"/>
          <w:szCs w:val="24"/>
          <w:lang w:val="pt-BR"/>
        </w:rPr>
        <w:t xml:space="preserve"> </w:t>
      </w:r>
      <w:r>
        <w:rPr>
          <w:b/>
          <w:bCs/>
          <w:color w:val="000000"/>
          <w:sz w:val="24"/>
          <w:szCs w:val="24"/>
          <w:u w:val="single"/>
          <w:lang w:val="pt-BR"/>
        </w:rPr>
        <w:t>IV – Processos de Distribuições Anteriores</w:t>
      </w:r>
      <w:r>
        <w:rPr>
          <w:b/>
          <w:bCs/>
          <w:color w:val="000000"/>
          <w:sz w:val="24"/>
          <w:szCs w:val="24"/>
          <w:lang w:val="pt-BR"/>
        </w:rPr>
        <w:t xml:space="preserve">: </w:t>
      </w:r>
      <w:r>
        <w:rPr>
          <w:color w:val="000000"/>
          <w:sz w:val="24"/>
          <w:szCs w:val="24"/>
          <w:lang w:val="pt-BR"/>
        </w:rPr>
        <w:t xml:space="preserve">A Conselheira Luciana Maciel Dantas Figueiredo trouxe o(s) processo(s): Autos </w:t>
      </w:r>
      <w:r>
        <w:rPr>
          <w:color w:val="000000"/>
          <w:sz w:val="24"/>
          <w:szCs w:val="24"/>
          <w:lang w:val="pt-BR"/>
        </w:rPr>
        <w:t>2017/2862828, Doc. 11257227</w:t>
      </w:r>
      <w:r>
        <w:rPr>
          <w:color w:val="000000"/>
          <w:sz w:val="24"/>
          <w:szCs w:val="24"/>
          <w:lang w:val="pt-BR"/>
        </w:rPr>
        <w:t xml:space="preserve">, 7º relatório trimestral, Dr. ..., relatando e votando pela aprovação do 7º relatório trimestral com devolução dos autos à CGMP para as providências cabíveis; </w:t>
      </w:r>
      <w:r>
        <w:rPr>
          <w:color w:val="000000"/>
          <w:sz w:val="24"/>
          <w:szCs w:val="24"/>
          <w:lang w:val="pt-BR"/>
        </w:rPr>
        <w:t>2017/2862828, Doc. 11257227</w:t>
      </w:r>
      <w:r>
        <w:rPr>
          <w:color w:val="000000"/>
          <w:sz w:val="24"/>
          <w:szCs w:val="24"/>
          <w:lang w:val="pt-BR"/>
        </w:rPr>
        <w:t>, relatório de vitaliciamente, Dr. ..., relatando e votando pela aprovação do relatório de vitaliciamente; 2019/2862790, Doc. 11257266, 7º relatório trimestral, Dr. ..., relatando e votando pela aprovação do 7º relatório trimestral; 2019/2862790, Doc. 11257266, relatório de vitaliciamente, Dr. ..., relatando e votando pela aprovação do relatório de vitaliciamente; Dr. Rinaldo Jorge da Silva declarou-se impedido. Colocado em votação, o Conselho, à unanimidade, aprovou os relatórios nos termos do voto da relatora.</w:t>
      </w:r>
      <w:r>
        <w:rPr>
          <w:b/>
          <w:bCs/>
          <w:color w:val="000000"/>
          <w:sz w:val="24"/>
          <w:szCs w:val="24"/>
        </w:rPr>
        <w:t xml:space="preserve"> III – Comunicações diversas: </w:t>
      </w:r>
      <w:r>
        <w:rPr>
          <w:b w:val="false"/>
          <w:bCs w:val="false"/>
          <w:color w:val="000000"/>
          <w:sz w:val="24"/>
          <w:szCs w:val="24"/>
        </w:rPr>
        <w:t xml:space="preserve">O </w:t>
      </w:r>
      <w:r>
        <w:rPr>
          <w:b w:val="false"/>
          <w:bCs w:val="false"/>
          <w:color w:val="000000"/>
          <w:sz w:val="24"/>
          <w:szCs w:val="24"/>
          <w:lang w:val="pt-BR"/>
        </w:rPr>
        <w:t>Presidente</w:t>
      </w:r>
      <w:r>
        <w:rPr>
          <w:b w:val="false"/>
          <w:bCs w:val="false"/>
          <w:color w:val="000000"/>
          <w:sz w:val="24"/>
          <w:szCs w:val="24"/>
        </w:rPr>
        <w:t xml:space="preserve"> da AMPPE registrou o </w:t>
      </w:r>
      <w:r>
        <w:rPr>
          <w:b w:val="false"/>
          <w:bCs w:val="false"/>
          <w:color w:val="000000"/>
          <w:sz w:val="24"/>
          <w:szCs w:val="24"/>
          <w:lang w:val="pt-BR"/>
        </w:rPr>
        <w:t>conhecimento</w:t>
      </w:r>
      <w:r>
        <w:rPr>
          <w:b w:val="false"/>
          <w:bCs w:val="false"/>
          <w:color w:val="000000"/>
          <w:sz w:val="24"/>
          <w:szCs w:val="24"/>
        </w:rPr>
        <w:t xml:space="preserve"> de dois casos de instauração de processos administrativos disciplinares em face de membros, em virtude de postagens, nas redes sociais, e confia que a Corregedoria Geral do MP saberá distinguir liberdade de expressão de falta funcional. </w:t>
      </w:r>
      <w:r>
        <w:rPr>
          <w:b w:val="false"/>
          <w:bCs w:val="false"/>
          <w:color w:val="000000"/>
          <w:sz w:val="24"/>
          <w:szCs w:val="24"/>
          <w:lang w:val="pt-BR"/>
        </w:rPr>
        <w:t>O Corregedor-Geral de Justiça registrou que liberdade de expressão é um direito constitucional, mas não é absoluto. É um direito constitucional limitado por outros direitos. Assegurou que todos podem ficar tranquilos em relação ao posicionamento da CGMP, pois a CF é o instrum</w:t>
      </w:r>
      <w:r>
        <w:rPr>
          <w:color w:val="000000"/>
          <w:sz w:val="24"/>
          <w:szCs w:val="24"/>
          <w:lang w:val="pt-BR"/>
        </w:rPr>
        <w:t xml:space="preserve">ento balizador das providências que podem advir. O Presidente solicitou o pronunciamento do Conselho acerca do informe recebido pelo Procurador Geral de Justiça no que se refere à indicação do Promotor de Justiça, Antônio Rolemberg Feitosa </w:t>
      </w:r>
      <w:r>
        <w:rPr>
          <w:color w:val="000000"/>
          <w:sz w:val="24"/>
          <w:szCs w:val="24"/>
          <w:lang w:val="pt-BR"/>
        </w:rPr>
        <w:t>Júnior</w:t>
      </w:r>
      <w:r>
        <w:rPr>
          <w:color w:val="000000"/>
          <w:sz w:val="24"/>
          <w:szCs w:val="24"/>
          <w:lang w:val="pt-BR"/>
        </w:rPr>
        <w:t xml:space="preserve">, para a direção do Núcleo Estratégico em Tecnologia e Inovação do MP. Colocado em discussão, foi deliberada a indicação do Dr. Antônio Rolemberg Feitosa </w:t>
      </w:r>
      <w:r>
        <w:rPr>
          <w:color w:val="000000"/>
          <w:sz w:val="24"/>
          <w:szCs w:val="24"/>
          <w:lang w:val="pt-BR"/>
        </w:rPr>
        <w:t>Júnior</w:t>
      </w:r>
      <w:r>
        <w:rPr>
          <w:color w:val="000000"/>
          <w:sz w:val="24"/>
          <w:szCs w:val="24"/>
          <w:lang w:val="pt-BR"/>
        </w:rPr>
        <w:t xml:space="preserve">, para a direção do Núcleo Estratégico em Tecnologia e Inovação do MP. O Conselheiro Rinaldo Jorge solicitou autorização do Conselho para redistribuição do auto 2017/2667150, à Conselheira Luciana Maciel Dantas, a qual concordou. Colocado em votação, foi deliberado, a unanimidade, sua redistribuição. O Conselheiro Roberto Burlamaque registrou sua satisfação em compor o Conselho Superior e elogiou o trabalho do GAECO na recaptura do Zé Maria, bem como, parabenizou a AMPPE pela nota publicada sobre a questão da tortura. Registrou a situação da Promotoria de Tamandaré e sugeriu a possibilidade de se ter uma sede própria, fazendo-se convênios de doação de terreno ou, de outra forma, alugando-se uma residência para instalação da promotoria de justiça. O Conselheiro Carlos Vitório homenageou o GAECO e o NIMPPE pelos trabalhos realizados e assim, parabenizou o Secretário e o Conselheiro Roberto Burlamaque. Comunicou que entrará em licença </w:t>
      </w:r>
      <w:r>
        <w:rPr>
          <w:color w:val="000000"/>
          <w:sz w:val="24"/>
          <w:szCs w:val="24"/>
          <w:lang w:val="pt-BR"/>
        </w:rPr>
        <w:t>prêmio</w:t>
      </w:r>
      <w:r>
        <w:rPr>
          <w:color w:val="000000"/>
          <w:sz w:val="24"/>
          <w:szCs w:val="24"/>
          <w:lang w:val="pt-BR"/>
        </w:rPr>
        <w:t>, mas continuará participando das sessões do Conselho. Dr. Alexandre Bezerra parabenizou a presença do Conselheiro Roberto Burlamaque, e aderiu às palavras de Dr. Carlos Vitório em relação às homenagens ao NIMPPE e GAECO. O</w:t>
      </w:r>
      <w:bookmarkStart w:id="0" w:name="__DdeLink__239_2928907843"/>
      <w:r>
        <w:rPr>
          <w:color w:val="000000"/>
          <w:sz w:val="24"/>
          <w:szCs w:val="24"/>
          <w:lang w:val="pt-BR"/>
        </w:rPr>
        <w:t xml:space="preserve"> Presidente</w:t>
      </w:r>
      <w:bookmarkEnd w:id="0"/>
      <w:r>
        <w:rPr>
          <w:color w:val="000000"/>
          <w:sz w:val="24"/>
          <w:szCs w:val="24"/>
          <w:lang w:val="pt-BR"/>
        </w:rPr>
        <w:t xml:space="preserve"> do Conselho agradeceu a todos e declarou encerrada a sessão.</w:t>
      </w:r>
    </w:p>
    <w:p>
      <w:pPr>
        <w:pStyle w:val="Normal"/>
        <w:jc w:val="both"/>
        <w:rPr>
          <w:color w:val="000000"/>
        </w:rPr>
      </w:pPr>
      <w:r>
        <w:rPr>
          <w:color w:val="000000"/>
        </w:rPr>
      </w:r>
    </w:p>
    <w:sectPr>
      <w:headerReference w:type="default" r:id="rId2"/>
      <w:type w:val="nextPage"/>
      <w:pgSz w:w="11906" w:h="16838"/>
      <w:pgMar w:left="1440" w:right="1440" w:header="72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tabs>
        <w:tab w:val="left" w:pos="260" w:leader="none"/>
        <w:tab w:val="right" w:pos="9098" w:leader="none"/>
      </w:tabs>
      <w:spacing w:lineRule="auto" w:line="240"/>
      <w:jc w:val="center"/>
      <w:rPr/>
    </w:pPr>
    <w:r>
      <w:rPr/>
      <w:drawing>
        <wp:inline distT="0" distB="0" distL="0" distR="0">
          <wp:extent cx="828040" cy="598805"/>
          <wp:effectExtent l="0" t="0" r="0" b="0"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5988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"/>
      <w:spacing w:lineRule="auto" w:line="240"/>
      <w:ind w:left="8727" w:right="-739" w:hanging="10428"/>
      <w:jc w:val="center"/>
      <w:rPr>
        <w:b/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MINISTÉRIO PÚBLICO DO ESTADO DE PERNAMBUCO</w:t>
    </w:r>
  </w:p>
  <w:p>
    <w:pPr>
      <w:pStyle w:val="Normal"/>
      <w:spacing w:lineRule="auto" w:line="240"/>
      <w:ind w:left="8727" w:right="-739" w:hanging="10428"/>
      <w:jc w:val="center"/>
      <w:rPr>
        <w:b/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PROCURADORIA GERAL DE JUSTIÇA</w:t>
    </w:r>
  </w:p>
  <w:p>
    <w:pPr>
      <w:pStyle w:val="Normal"/>
      <w:spacing w:lineRule="auto" w:line="240"/>
      <w:ind w:left="8727" w:right="-739" w:hanging="10428"/>
      <w:jc w:val="center"/>
      <w:rPr>
        <w:b/>
        <w:b/>
        <w:sz w:val="24"/>
        <w:szCs w:val="24"/>
        <w:lang w:val="pt-BR"/>
      </w:rPr>
    </w:pPr>
    <w:r>
      <w:rPr>
        <w:b/>
        <w:sz w:val="24"/>
        <w:szCs w:val="24"/>
        <w:lang w:val="pt-BR"/>
      </w:rPr>
      <w:t>SECRETARIA DO CONSELHO SUPERIOR DO MINISTÉRIO PÚBLICO</w:t>
    </w:r>
  </w:p>
</w:hdr>
</file>

<file path=word/settings.xml><?xml version="1.0" encoding="utf-8"?>
<w:settings xmlns:w="http://schemas.openxmlformats.org/wordprocessingml/2006/main">
  <w:zoom w:percent="130"/>
  <w:defaultTabStop w:val="720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Cs w:val="22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de1b4d"/>
    <w:pPr>
      <w:widowControl w:val="false"/>
      <w:overflowPunct w:val="true"/>
      <w:bidi w:val="0"/>
      <w:spacing w:lineRule="auto" w:line="276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Ttulo1" w:customStyle="1">
    <w:name w:val="Heading 1"/>
    <w:basedOn w:val="Normal"/>
    <w:next w:val="Normal"/>
    <w:qFormat/>
    <w:rsid w:val="00de1b4d"/>
    <w:pPr>
      <w:keepNext w:val="true"/>
      <w:keepLines/>
      <w:spacing w:lineRule="auto" w:line="240" w:before="400" w:after="120"/>
    </w:pPr>
    <w:rPr>
      <w:sz w:val="40"/>
      <w:szCs w:val="40"/>
    </w:rPr>
  </w:style>
  <w:style w:type="paragraph" w:styleId="Ttulo2" w:customStyle="1">
    <w:name w:val="Heading 2"/>
    <w:basedOn w:val="Normal"/>
    <w:next w:val="Normal"/>
    <w:qFormat/>
    <w:rsid w:val="00de1b4d"/>
    <w:pPr>
      <w:keepNext w:val="true"/>
      <w:keepLines/>
      <w:spacing w:lineRule="auto" w:line="240" w:before="360" w:after="120"/>
    </w:pPr>
    <w:rPr>
      <w:sz w:val="32"/>
      <w:szCs w:val="32"/>
    </w:rPr>
  </w:style>
  <w:style w:type="paragraph" w:styleId="Ttulo3" w:customStyle="1">
    <w:name w:val="Heading 3"/>
    <w:basedOn w:val="Normal"/>
    <w:next w:val="Normal"/>
    <w:qFormat/>
    <w:rsid w:val="00de1b4d"/>
    <w:pPr>
      <w:keepNext w:val="true"/>
      <w:keepLines/>
      <w:spacing w:lineRule="auto" w:line="240" w:before="320" w:after="80"/>
    </w:pPr>
    <w:rPr>
      <w:color w:val="434343"/>
      <w:sz w:val="28"/>
      <w:szCs w:val="28"/>
    </w:rPr>
  </w:style>
  <w:style w:type="paragraph" w:styleId="Ttulo4" w:customStyle="1">
    <w:name w:val="Heading 4"/>
    <w:basedOn w:val="Normal"/>
    <w:next w:val="Normal"/>
    <w:qFormat/>
    <w:rsid w:val="00de1b4d"/>
    <w:pPr>
      <w:keepNext w:val="true"/>
      <w:keepLines/>
      <w:spacing w:lineRule="auto" w:line="240" w:before="280" w:after="80"/>
    </w:pPr>
    <w:rPr>
      <w:color w:val="666666"/>
      <w:sz w:val="24"/>
      <w:szCs w:val="24"/>
    </w:rPr>
  </w:style>
  <w:style w:type="paragraph" w:styleId="Ttulo5" w:customStyle="1">
    <w:name w:val="Heading 5"/>
    <w:basedOn w:val="Normal"/>
    <w:next w:val="Normal"/>
    <w:qFormat/>
    <w:rsid w:val="00de1b4d"/>
    <w:pPr>
      <w:keepNext w:val="true"/>
      <w:keepLines/>
      <w:spacing w:lineRule="auto" w:line="240" w:before="240" w:after="80"/>
    </w:pPr>
    <w:rPr>
      <w:color w:val="666666"/>
    </w:rPr>
  </w:style>
  <w:style w:type="paragraph" w:styleId="Ttulo6" w:customStyle="1">
    <w:name w:val="Heading 6"/>
    <w:basedOn w:val="Normal"/>
    <w:next w:val="Normal"/>
    <w:qFormat/>
    <w:rsid w:val="00de1b4d"/>
    <w:pPr>
      <w:keepNext w:val="true"/>
      <w:keepLines/>
      <w:spacing w:lineRule="auto" w:line="240" w:before="240" w:after="80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2z0" w:customStyle="1">
    <w:name w:val="WW8Num2z0"/>
    <w:qFormat/>
    <w:rsid w:val="00de1b4d"/>
    <w:rPr>
      <w:rFonts w:ascii="Arial" w:hAnsi="Arial" w:cs="Times New Roman"/>
      <w:b/>
      <w:color w:val="000000"/>
      <w:sz w:val="28"/>
      <w:szCs w:val="28"/>
    </w:rPr>
  </w:style>
  <w:style w:type="character" w:styleId="TextodebaloChar" w:customStyle="1">
    <w:name w:val="Texto de balão Char"/>
    <w:basedOn w:val="DefaultParagraphFont"/>
    <w:qFormat/>
    <w:rsid w:val="00de1b4d"/>
    <w:rPr>
      <w:rFonts w:ascii="Tahoma" w:hAnsi="Tahoma" w:cs="Mangal"/>
      <w:color w:val="00000A"/>
      <w:sz w:val="16"/>
      <w:szCs w:val="14"/>
    </w:rPr>
  </w:style>
  <w:style w:type="paragraph" w:styleId="Ttulo">
    <w:name w:val="Título"/>
    <w:basedOn w:val="Normal"/>
    <w:next w:val="Corpode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texto">
    <w:name w:val="Body Text"/>
    <w:basedOn w:val="Normal"/>
    <w:rsid w:val="00de1b4d"/>
    <w:pPr>
      <w:spacing w:lineRule="auto" w:line="288" w:before="0" w:after="140"/>
    </w:pPr>
    <w:rPr/>
  </w:style>
  <w:style w:type="paragraph" w:styleId="Lista">
    <w:name w:val="List"/>
    <w:basedOn w:val="Corpodetexto"/>
    <w:rsid w:val="00de1b4d"/>
    <w:pPr/>
    <w:rPr>
      <w:rFonts w:cs="Mangal"/>
    </w:rPr>
  </w:style>
  <w:style w:type="paragraph" w:styleId="Legenda" w:customStyle="1">
    <w:name w:val="Caption"/>
    <w:basedOn w:val="Normal"/>
    <w:qFormat/>
    <w:rsid w:val="00de1b4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rsid w:val="00de1b4d"/>
    <w:pPr>
      <w:suppressLineNumbers/>
    </w:pPr>
    <w:rPr>
      <w:rFonts w:cs="Mangal"/>
    </w:rPr>
  </w:style>
  <w:style w:type="paragraph" w:styleId="Ttulododocumento">
    <w:name w:val="Title"/>
    <w:basedOn w:val="Normal"/>
    <w:qFormat/>
    <w:rsid w:val="00de1b4d"/>
    <w:pPr>
      <w:keepNext w:val="true"/>
      <w:keepLines/>
      <w:spacing w:before="0" w:after="60"/>
    </w:pPr>
    <w:rPr>
      <w:color w:val="auto"/>
      <w:sz w:val="52"/>
      <w:szCs w:val="52"/>
    </w:rPr>
  </w:style>
  <w:style w:type="paragraph" w:styleId="LOnormal" w:customStyle="1">
    <w:name w:val="LO-normal"/>
    <w:qFormat/>
    <w:rsid w:val="00de1b4d"/>
    <w:pPr>
      <w:widowControl/>
      <w:overflowPunct w:val="true"/>
      <w:bidi w:val="0"/>
      <w:jc w:val="left"/>
    </w:pPr>
    <w:rPr>
      <w:rFonts w:ascii="Arial" w:hAnsi="Arial" w:eastAsia="Arial" w:cs="Arial"/>
      <w:color w:val="00000A"/>
      <w:kern w:val="0"/>
      <w:sz w:val="22"/>
      <w:szCs w:val="22"/>
      <w:lang w:val="en-US" w:eastAsia="zh-CN" w:bidi="hi-IN"/>
    </w:rPr>
  </w:style>
  <w:style w:type="paragraph" w:styleId="Subttulo">
    <w:name w:val="Subtitle"/>
    <w:basedOn w:val="LOnormal"/>
    <w:next w:val="Normal"/>
    <w:qFormat/>
    <w:rsid w:val="00de1b4d"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Cabealho" w:customStyle="1">
    <w:name w:val="Header"/>
    <w:basedOn w:val="Normal"/>
    <w:rsid w:val="00de1b4d"/>
    <w:pPr/>
    <w:rPr/>
  </w:style>
  <w:style w:type="paragraph" w:styleId="NormalWeb">
    <w:name w:val="Normal (Web)"/>
    <w:basedOn w:val="Normal"/>
    <w:qFormat/>
    <w:rsid w:val="00de1b4d"/>
    <w:pPr>
      <w:spacing w:before="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Contedodatabela" w:customStyle="1">
    <w:name w:val="Conteúdo da tabela"/>
    <w:basedOn w:val="Normal"/>
    <w:qFormat/>
    <w:rsid w:val="00de1b4d"/>
    <w:pPr>
      <w:suppressLineNumbers/>
    </w:pPr>
    <w:rPr/>
  </w:style>
  <w:style w:type="paragraph" w:styleId="Ttulodetabela" w:customStyle="1">
    <w:name w:val="Título de tabela"/>
    <w:basedOn w:val="Contedodatabela"/>
    <w:qFormat/>
    <w:rsid w:val="00de1b4d"/>
    <w:pPr>
      <w:jc w:val="center"/>
    </w:pPr>
    <w:rPr>
      <w:b/>
      <w:bCs/>
    </w:rPr>
  </w:style>
  <w:style w:type="paragraph" w:styleId="BalloonText">
    <w:name w:val="Balloon Text"/>
    <w:basedOn w:val="Normal"/>
    <w:qFormat/>
    <w:rsid w:val="00de1b4d"/>
    <w:pPr>
      <w:spacing w:lineRule="auto" w:line="240"/>
    </w:pPr>
    <w:rPr>
      <w:rFonts w:ascii="Tahoma" w:hAnsi="Tahoma" w:cs="Mangal"/>
      <w:sz w:val="16"/>
      <w:szCs w:val="14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de1b4d"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761</TotalTime>
  <Application>LibreOffice/6.0.7.3$Windows_X86_64 LibreOffice_project/dc89aa7a9eabfd848af146d5086077aeed2ae4a5</Application>
  <Pages>3</Pages>
  <Words>941</Words>
  <Characters>5743</Characters>
  <CharactersWithSpaces>6686</CharactersWithSpaces>
  <Paragraphs>13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2019-05-08T18:27:00Z</dcterms:created>
  <dc:creator/>
  <dc:description/>
  <dc:language>pt-BR</dc:language>
  <cp:lastModifiedBy/>
  <dcterms:modified xsi:type="dcterms:W3CDTF">2019-08-05T18:30:56Z</dcterms:modified>
  <cp:revision>29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