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EXTRATO DA ATA DA 26ª SESSÃO ORDINÁRIA DO CONSELHO SUPERIOR DO MINISTÉRIO PÚBLICO</w:t>
      </w:r>
    </w:p>
    <w:p>
      <w:pPr>
        <w:pStyle w:val="Normal"/>
        <w:spacing w:lineRule="auto" w:line="240"/>
        <w:rPr>
          <w:rFonts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/>
          <w:color w:val="000000"/>
          <w:sz w:val="24"/>
          <w:szCs w:val="24"/>
          <w:lang w:val="pt-BR"/>
        </w:rPr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Data</w:t>
      </w:r>
      <w:r>
        <w:rPr>
          <w:color w:val="000000"/>
          <w:sz w:val="24"/>
          <w:szCs w:val="24"/>
          <w:lang w:val="pt-BR"/>
        </w:rPr>
        <w:t xml:space="preserve">: 17 de julho de 2019 </w:t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Horário</w:t>
      </w:r>
      <w:r>
        <w:rPr>
          <w:color w:val="000000"/>
          <w:sz w:val="24"/>
          <w:szCs w:val="24"/>
          <w:lang w:val="pt-BR"/>
        </w:rPr>
        <w:t>: 14:30min</w:t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Local</w:t>
      </w:r>
      <w:r>
        <w:rPr>
          <w:color w:val="000000"/>
          <w:sz w:val="24"/>
          <w:szCs w:val="24"/>
          <w:lang w:val="pt-BR"/>
        </w:rPr>
        <w:t>: Salão dos Órgãos Colegiados da Procuradoria Geral de Justiça, localizado na Rua do Imperador D. Pedro II, n.º 473, Bairro de Santo Antônio, Recife/PE.</w:t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Presidência</w:t>
      </w:r>
      <w:r>
        <w:rPr>
          <w:color w:val="000000"/>
          <w:sz w:val="24"/>
          <w:szCs w:val="24"/>
          <w:lang w:val="pt-BR"/>
        </w:rPr>
        <w:t>: Dra. Lais Coelho Teixeira Cavalcanti</w:t>
      </w:r>
      <w:r>
        <w:rPr>
          <w:b/>
          <w:color w:val="000000"/>
          <w:sz w:val="24"/>
          <w:szCs w:val="24"/>
          <w:lang w:val="pt-BR"/>
        </w:rPr>
        <w:t xml:space="preserve">, </w:t>
      </w:r>
      <w:r>
        <w:rPr>
          <w:color w:val="000000"/>
          <w:sz w:val="24"/>
          <w:szCs w:val="24"/>
          <w:lang w:val="pt-BR"/>
        </w:rPr>
        <w:t xml:space="preserve">Subprocuradora - Geral em assuntos Institucionais. </w:t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Conselheiros Presentes</w:t>
      </w:r>
      <w:r>
        <w:rPr>
          <w:color w:val="000000"/>
          <w:sz w:val="24"/>
          <w:szCs w:val="24"/>
          <w:lang w:val="pt-BR"/>
        </w:rPr>
        <w:t>: os Drs.</w:t>
      </w:r>
      <w:r>
        <w:rPr>
          <w:color w:val="000000"/>
          <w:sz w:val="24"/>
          <w:szCs w:val="22"/>
          <w:lang w:val="pt-BR" w:bidi="ar-SA"/>
        </w:rPr>
        <w:t xml:space="preserve"> MARIA LIZANDRA LIRA DE CARVALHO, Dr. RINALDO JORGE DA SILVA, </w:t>
      </w:r>
      <w:r>
        <w:rPr>
          <w:rFonts w:eastAsia="Arial"/>
          <w:color w:val="000000"/>
          <w:sz w:val="24"/>
          <w:szCs w:val="24"/>
          <w:lang w:val="pt-BR" w:bidi="ar-SA"/>
        </w:rPr>
        <w:t>Dr. FERNANDO FALCÃO FERRAZ FILHO e CARLOS ALBERTO PEREIRA VITÓRIO.</w:t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Representante da AMPPE:</w:t>
      </w:r>
      <w:r>
        <w:rPr>
          <w:color w:val="000000"/>
          <w:sz w:val="24"/>
          <w:szCs w:val="24"/>
          <w:lang w:val="pt-BR"/>
        </w:rPr>
        <w:t xml:space="preserve"> Dr. Marcos Carvalho.</w:t>
      </w:r>
    </w:p>
    <w:p>
      <w:pPr>
        <w:pStyle w:val="Normal"/>
        <w:spacing w:lineRule="auto" w:line="240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Secretário:</w:t>
      </w:r>
      <w:r>
        <w:rPr>
          <w:color w:val="000000"/>
          <w:sz w:val="24"/>
          <w:szCs w:val="24"/>
          <w:lang w:val="pt-BR"/>
        </w:rPr>
        <w:t xml:space="preserve"> Dr. Petrúcio Aquino.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color w:val="000000"/>
          <w:sz w:val="24"/>
          <w:szCs w:val="24"/>
          <w:lang w:val="pt-BR"/>
        </w:rPr>
        <w:t xml:space="preserve">Dando início aos trabalhos a Presidente do Conselho Superior, em exercício, Dra. Laís Coelho Teixeira Cavalcanti, cumprimentou todos os presentes. Solicitou que o Secretário desse prosseguimento com a verificação da constituição do quorum regimental. Tendo o Secretário constatado o comparecimento dos Conselheiros acima mencionados, ausência justificada de </w:t>
      </w:r>
      <w:r>
        <w:rPr>
          <w:color w:val="000000"/>
          <w:sz w:val="24"/>
          <w:szCs w:val="22"/>
          <w:lang w:val="pt-BR" w:bidi="ar-SA"/>
        </w:rPr>
        <w:t>Dr. Stanley Araújo Correia, por compensar plantão,</w:t>
      </w:r>
      <w:r>
        <w:rPr>
          <w:color w:val="000000"/>
          <w:sz w:val="24"/>
          <w:szCs w:val="24"/>
          <w:lang w:val="pt-BR"/>
        </w:rPr>
        <w:t xml:space="preserve"> Dra. Fernanda Henriques da Nóbrega, por compromisso anteriormente agendado, Dra.</w:t>
      </w:r>
      <w:r>
        <w:rPr>
          <w:color w:val="000000"/>
          <w:sz w:val="24"/>
          <w:szCs w:val="24"/>
          <w:lang w:val="pt-BR" w:bidi="ar-SA"/>
        </w:rPr>
        <w:t xml:space="preserve"> Luciana Maciel Dantas Figueiredo, por motivo de saúde, bem como, os que se encontram em férias, Dr. Alexandre Augusto Bezerra e Dr. Francisco Dirceu Barros.</w:t>
      </w:r>
      <w:r>
        <w:rPr>
          <w:color w:val="000000"/>
          <w:sz w:val="24"/>
          <w:szCs w:val="24"/>
          <w:lang w:val="pt-BR"/>
        </w:rPr>
        <w:t xml:space="preserve"> Com a correspondente constituição do quorum regimental foi passada a palavra a Presidente em exercício, que declarou aberta a sessão, passando a tratar dos assuntos previstos em pauta:</w:t>
      </w:r>
      <w:r>
        <w:rPr>
          <w:b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lang w:val="pt-BR"/>
        </w:rPr>
        <w:t>I - Comunicações da Presidência;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</w:rPr>
        <w:t>II - Aprovação de Ata;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</w:rPr>
        <w:t xml:space="preserve">III – Comunicações diversas: </w:t>
      </w:r>
      <w:r>
        <w:rPr>
          <w:b/>
          <w:bCs/>
          <w:color w:val="000000"/>
          <w:sz w:val="24"/>
          <w:szCs w:val="24"/>
          <w:u w:val="single"/>
          <w:lang w:val="pt-BR"/>
        </w:rPr>
        <w:t>III.I – Instaurações de Inquéritos Civis e PP’s</w:t>
      </w:r>
      <w:r>
        <w:rPr>
          <w:b/>
          <w:bCs/>
          <w:color w:val="000000"/>
          <w:sz w:val="24"/>
          <w:szCs w:val="24"/>
          <w:lang w:val="pt-BR"/>
        </w:rPr>
        <w:t xml:space="preserve">: </w:t>
      </w:r>
      <w:r>
        <w:rPr>
          <w:rFonts w:eastAsia="Arial" w:cs="Arial"/>
          <w:b/>
          <w:bCs/>
          <w:color w:val="000000"/>
        </w:rPr>
        <w:t xml:space="preserve">Doc. 11294467, Doc. 11285959, Doc. 11292858, Doc. 11284995, Doc. 11324450; 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u w:val="single"/>
        </w:rPr>
        <w:t>III.II – Conversão de NF’s em PP’s, PP’s em  IC’s</w:t>
      </w:r>
      <w:r>
        <w:rPr>
          <w:b/>
          <w:bCs/>
          <w:color w:val="000000"/>
        </w:rPr>
        <w:t xml:space="preserve">: </w:t>
      </w:r>
      <w:r>
        <w:rPr>
          <w:rFonts w:cs="Arial"/>
          <w:b/>
          <w:color w:val="000000"/>
        </w:rPr>
        <w:t xml:space="preserve">Doc. 11284087, Doc. 11301797, Doc. 11302487, Doc. 11295243, Doc. 11290784; </w:t>
      </w:r>
      <w:r>
        <w:rPr>
          <w:b/>
          <w:bCs/>
          <w:color w:val="000000"/>
          <w:u w:val="single"/>
        </w:rPr>
        <w:t>III.III – Prorrogação de Prazo</w:t>
      </w:r>
      <w:r>
        <w:rPr>
          <w:b/>
          <w:bCs/>
          <w:color w:val="000000"/>
        </w:rPr>
        <w:t xml:space="preserve">:  </w:t>
      </w:r>
      <w:r>
        <w:rPr>
          <w:rFonts w:cs="Arial"/>
          <w:b/>
          <w:color w:val="000000"/>
        </w:rPr>
        <w:t xml:space="preserve">Doc. 11305958, Doc. 11290821, Doc. 11272160, Doc. 11263679, Doc. 11282295, Doc. 11282261, Doc. 11282188, Doc. 11282142, Doc. 11282076, Doc. 11281892, Doc. 11281824, Doc. 11281559, Doc. 11280940, Doc. 11280846, Doc. 11280816, Doc. 11272384, Doc. 11231563, Doc. 11288558, Doc. 11272396, Doc. 11303717, Doc. 11284608, Doc. 11193127, Doc. 11316537, Doc. 11324788; </w:t>
      </w:r>
      <w:r>
        <w:rPr>
          <w:rFonts w:cs="Arial"/>
          <w:b/>
          <w:bCs/>
          <w:color w:val="000000"/>
          <w:u w:val="single"/>
        </w:rPr>
        <w:t>III.IV</w:t>
      </w:r>
      <w:r>
        <w:rPr>
          <w:rFonts w:eastAsia="Arial" w:cs="Arial"/>
          <w:b/>
          <w:bCs/>
          <w:color w:val="000000"/>
          <w:u w:val="single"/>
        </w:rPr>
        <w:t xml:space="preserve"> – Termo de Ajustamento de Conduta</w:t>
      </w:r>
      <w:r>
        <w:rPr>
          <w:rFonts w:eastAsia="Arial" w:cs="Arial"/>
          <w:b/>
          <w:bCs/>
          <w:color w:val="000000"/>
          <w:u w:val="none"/>
        </w:rPr>
        <w:t xml:space="preserve">: Doc. 11324980; </w:t>
      </w:r>
      <w:r>
        <w:rPr>
          <w:rFonts w:eastAsia="Arial" w:cs="Arial"/>
          <w:b/>
          <w:bCs/>
          <w:color w:val="000000"/>
          <w:u w:val="single"/>
        </w:rPr>
        <w:t>III.V – Diversos</w:t>
      </w:r>
      <w:r>
        <w:rPr>
          <w:rFonts w:eastAsia="Arial" w:cs="Arial"/>
          <w:b/>
          <w:bCs/>
          <w:color w:val="000000"/>
          <w:u w:val="none"/>
        </w:rPr>
        <w:t xml:space="preserve">:  Doc. 11302876; </w:t>
      </w:r>
      <w:r>
        <w:rPr>
          <w:rFonts w:eastAsia="Arial" w:cs="Arial"/>
          <w:b/>
          <w:bCs/>
          <w:color w:val="000000"/>
          <w:u w:val="single"/>
        </w:rPr>
        <w:t>IV – Processos de Distribuições Anteriores</w:t>
      </w:r>
      <w:r>
        <w:rPr>
          <w:rFonts w:eastAsia="Arial" w:cs="Arial"/>
          <w:b/>
          <w:bCs/>
          <w:color w:val="000000"/>
          <w:u w:val="none"/>
        </w:rPr>
        <w:t xml:space="preserve">. </w:t>
      </w:r>
      <w:r>
        <w:rPr>
          <w:rFonts w:eastAsia="Arial" w:cs="Arial"/>
          <w:b/>
          <w:bCs/>
          <w:color w:val="000000"/>
          <w:sz w:val="24"/>
          <w:szCs w:val="24"/>
          <w:u w:val="none"/>
          <w:lang w:val="pt-BR"/>
        </w:rPr>
        <w:t>I - Comunicações da Presidência:</w:t>
      </w:r>
      <w:r>
        <w:rPr>
          <w:rFonts w:eastAsia="Arial" w:cs="Arial"/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 xml:space="preserve">A Presidente em exercício comunicou que está sendo elaborada resposta sobre o mandado de segurança 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>impetrado pela AMPPE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 xml:space="preserve"> e tão logo esteja pront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>a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>, conforme foi deliberado em sessão anterior, será encaminhad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>a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 xml:space="preserve"> 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>aos Conselheiros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 xml:space="preserve">. A Presidente em exercício indagou aos Conselheiros 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>acerca de alguma comunicação a ser feita, como dada foi dito, passou-se ao aproximo item da pauta.</w:t>
      </w:r>
      <w:r>
        <w:rPr>
          <w:rFonts w:eastAsia="Arial" w:cs="Arial"/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rFonts w:eastAsia="Arial" w:cs="Arial"/>
          <w:b/>
          <w:bCs/>
          <w:color w:val="000000"/>
          <w:sz w:val="24"/>
          <w:szCs w:val="24"/>
          <w:u w:val="single"/>
          <w:lang w:val="pt-BR"/>
        </w:rPr>
        <w:t>II - Aprovação de Ata</w:t>
      </w:r>
      <w:r>
        <w:rPr>
          <w:rFonts w:eastAsia="Arial" w:cs="Arial"/>
          <w:b/>
          <w:bCs/>
          <w:color w:val="000000"/>
          <w:sz w:val="24"/>
          <w:szCs w:val="24"/>
          <w:u w:val="none"/>
          <w:lang w:val="pt-BR"/>
        </w:rPr>
        <w:t xml:space="preserve">: </w:t>
      </w:r>
      <w:r>
        <w:rPr>
          <w:rFonts w:eastAsia="Arial" w:cs="Arial"/>
          <w:b w:val="false"/>
          <w:bCs w:val="false"/>
          <w:color w:val="000000"/>
          <w:sz w:val="24"/>
          <w:szCs w:val="24"/>
          <w:u w:val="none"/>
          <w:lang w:val="pt-BR"/>
        </w:rPr>
        <w:t>Colocada em apreciação os extratos das Atas da 18ª Sessão Extraordinária e a 25ª Sessão Ordinária do CSMP, realizadas em 10/07/2019. Foi aberta à discussão. Colocada(s) em votação, aprovada(s), à unanimidade.</w:t>
      </w:r>
      <w:r>
        <w:rPr>
          <w:rFonts w:eastAsia="Arial" w:cs="Arial"/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rFonts w:eastAsia="Arial" w:cs="Arial"/>
          <w:b/>
          <w:bCs/>
          <w:color w:val="000000"/>
          <w:sz w:val="24"/>
          <w:szCs w:val="24"/>
          <w:u w:val="single"/>
          <w:lang w:val="pt-BR"/>
        </w:rPr>
        <w:t>IV – Processos de Distribuições Anteriores</w:t>
      </w:r>
      <w:r>
        <w:rPr>
          <w:rFonts w:eastAsia="Arial" w:cs="Arial"/>
          <w:b/>
          <w:bCs/>
          <w:color w:val="000000"/>
          <w:sz w:val="24"/>
          <w:szCs w:val="24"/>
          <w:u w:val="none"/>
          <w:lang w:val="pt-BR"/>
        </w:rPr>
        <w:t xml:space="preserve">: 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O Conselheiro Dr. Fernando Falcão Ferraz Filho trouxe o(s) processo(s): Autos 2005/20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7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14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2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6; 2015/2032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79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5;</w:t>
      </w:r>
      <w:r>
        <w:rPr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2018/401726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>Determinando sua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redistribuição </w:t>
      </w:r>
      <w:r>
        <w:rPr>
          <w:b/>
          <w:bCs/>
          <w:color w:val="000000"/>
          <w:sz w:val="24"/>
          <w:szCs w:val="24"/>
          <w:u w:val="single"/>
          <w:lang w:val="pt-BR"/>
        </w:rPr>
        <w:t>por ter atuado no processo</w:t>
      </w:r>
      <w:r>
        <w:rPr>
          <w:b/>
          <w:bCs/>
          <w:color w:val="000000"/>
          <w:sz w:val="24"/>
          <w:szCs w:val="24"/>
          <w:u w:val="single"/>
          <w:lang w:val="pt-BR"/>
        </w:rPr>
        <w:t>;</w:t>
      </w:r>
      <w:r>
        <w:rPr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2012/2151453; 2016/2426702; 2019/37204; 2019/106272; 2013/1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2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763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60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; 2012/613679; 2019/52450; 2017/2764506;</w:t>
      </w:r>
      <w:r>
        <w:rPr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2015/1936569 – relatando e votando pela conversão em </w:t>
      </w:r>
      <w:r>
        <w:rPr>
          <w:b/>
          <w:bCs/>
          <w:color w:val="000000"/>
          <w:sz w:val="24"/>
          <w:szCs w:val="24"/>
          <w:u w:val="single"/>
          <w:lang w:val="pt-BR"/>
        </w:rPr>
        <w:t>DILIGENCIA para devolução à PJ de origem para providências cabíveis</w:t>
      </w:r>
      <w:r>
        <w:rPr>
          <w:b/>
          <w:bCs/>
          <w:color w:val="000000"/>
          <w:sz w:val="24"/>
          <w:szCs w:val="24"/>
          <w:u w:val="single"/>
          <w:lang w:val="pt-BR"/>
        </w:rPr>
        <w:t>;</w:t>
      </w:r>
      <w:r>
        <w:rPr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2018/293762 </w:t>
      </w:r>
      <w:r>
        <w:rPr>
          <w:b/>
          <w:bCs/>
          <w:color w:val="000000"/>
          <w:sz w:val="24"/>
          <w:szCs w:val="24"/>
          <w:u w:val="single"/>
          <w:lang w:val="pt-BR"/>
        </w:rPr>
        <w:t>e 2016/2408479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Determinando a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redistribuição </w:t>
      </w:r>
      <w:r>
        <w:rPr>
          <w:b/>
          <w:bCs/>
          <w:color w:val="000000"/>
          <w:sz w:val="24"/>
          <w:szCs w:val="24"/>
          <w:u w:val="single"/>
          <w:lang w:val="pt-BR"/>
        </w:rPr>
        <w:t>por ter atuado no</w:t>
      </w:r>
      <w:r>
        <w:rPr>
          <w:b/>
          <w:bCs/>
          <w:color w:val="000000"/>
          <w:sz w:val="24"/>
          <w:szCs w:val="24"/>
          <w:u w:val="single"/>
          <w:lang w:val="pt-BR"/>
        </w:rPr>
        <w:t>s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processo</w:t>
      </w:r>
      <w:r>
        <w:rPr>
          <w:b/>
          <w:bCs/>
          <w:color w:val="000000"/>
          <w:sz w:val="24"/>
          <w:szCs w:val="24"/>
          <w:u w:val="single"/>
          <w:lang w:val="pt-BR"/>
        </w:rPr>
        <w:t>s</w:t>
      </w:r>
      <w:r>
        <w:rPr>
          <w:b/>
          <w:bCs/>
          <w:color w:val="000000"/>
          <w:sz w:val="24"/>
          <w:szCs w:val="24"/>
          <w:u w:val="none"/>
          <w:lang w:val="pt-BR"/>
        </w:rPr>
        <w:t xml:space="preserve">; 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2014/1448080; 2017/2650521; 2014/16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8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9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9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39; 2013/1229727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>;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 xml:space="preserve"> 2012/678778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 xml:space="preserve">. Relatando e votando pela(s) homologação(ções) do(s) arquivamento(s), redistribuição e diligência, conforme voto. </w:t>
      </w:r>
      <w:r>
        <w:rPr>
          <w:b w:val="false"/>
          <w:bCs w:val="false"/>
          <w:color w:val="000000"/>
          <w:sz w:val="24"/>
          <w:szCs w:val="24"/>
          <w:u w:val="none"/>
          <w:lang w:val="pt-BR"/>
        </w:rPr>
        <w:t xml:space="preserve">Colocado(s) em votação, foi determinado, por unanimidade, a aprovação nos termos do voto do relator. </w:t>
      </w:r>
      <w:r>
        <w:rPr>
          <w:b w:val="false"/>
          <w:bCs w:val="false"/>
          <w:color w:val="000000"/>
          <w:sz w:val="24"/>
          <w:szCs w:val="24"/>
          <w:lang w:val="pt-BR"/>
        </w:rPr>
        <w:t>O Conselheiro Dr. Rinaldo Jorge da Silva trouxe o(s) processo(s): Autos 2013/1342068; 2017/2713354; 2018/410748; 2018/391324; 2012/8</w:t>
      </w:r>
      <w:r>
        <w:rPr>
          <w:b w:val="false"/>
          <w:bCs w:val="false"/>
          <w:color w:val="000000"/>
          <w:sz w:val="24"/>
          <w:szCs w:val="24"/>
          <w:lang w:val="pt-BR"/>
        </w:rPr>
        <w:t>6</w:t>
      </w:r>
      <w:r>
        <w:rPr>
          <w:b w:val="false"/>
          <w:bCs w:val="false"/>
          <w:color w:val="000000"/>
          <w:sz w:val="24"/>
          <w:szCs w:val="24"/>
          <w:lang w:val="pt-BR"/>
        </w:rPr>
        <w:t>9128; 2018/4</w:t>
      </w:r>
      <w:r>
        <w:rPr>
          <w:b w:val="false"/>
          <w:bCs w:val="false"/>
          <w:color w:val="000000"/>
          <w:sz w:val="24"/>
          <w:szCs w:val="24"/>
          <w:lang w:val="pt-BR"/>
        </w:rPr>
        <w:t>281</w:t>
      </w:r>
      <w:r>
        <w:rPr>
          <w:b w:val="false"/>
          <w:bCs w:val="false"/>
          <w:color w:val="000000"/>
          <w:sz w:val="24"/>
          <w:szCs w:val="24"/>
          <w:lang w:val="pt-BR"/>
        </w:rPr>
        <w:t>98. Relatando e votando</w:t>
      </w:r>
      <w:r>
        <w:rPr>
          <w:color w:val="000000"/>
          <w:sz w:val="24"/>
          <w:szCs w:val="24"/>
          <w:lang w:val="pt-BR"/>
        </w:rPr>
        <w:t xml:space="preserve"> pela homologação do(s) arquivamento(s). Colocado(s) em votação, foi determinado, por unanimidade, o(s) arquivamento(s) nos termos do voto do relator. A Conselheira Dra. Maria Lizandra Lira de Carvalho trouxe o(s) processo(s): Autos 2016/2268776; 2016/2422073; 2018/378916; 2018/139237; 2015/2069880; 2016/2326284; 2019/51176;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2016/2314962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Processo já se encontra julgado, </w:t>
      </w:r>
      <w:r>
        <w:rPr>
          <w:b/>
          <w:bCs/>
          <w:color w:val="000000"/>
          <w:sz w:val="24"/>
          <w:szCs w:val="24"/>
          <w:u w:val="single"/>
          <w:lang w:val="pt-BR"/>
        </w:rPr>
        <w:t>devol</w:t>
      </w:r>
      <w:r>
        <w:rPr>
          <w:b/>
          <w:bCs/>
          <w:color w:val="000000"/>
          <w:sz w:val="24"/>
          <w:szCs w:val="24"/>
          <w:u w:val="single"/>
          <w:lang w:val="pt-BR"/>
        </w:rPr>
        <w:t>vendo-se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à Secretaria do CSMP para providências cabíveis</w:t>
      </w:r>
      <w:r>
        <w:rPr>
          <w:b/>
          <w:bCs/>
          <w:color w:val="000000"/>
          <w:sz w:val="24"/>
          <w:szCs w:val="24"/>
          <w:lang w:val="pt-BR"/>
        </w:rPr>
        <w:t>;</w:t>
      </w:r>
      <w:r>
        <w:rPr>
          <w:color w:val="000000"/>
          <w:sz w:val="24"/>
          <w:szCs w:val="24"/>
          <w:lang w:val="pt-BR"/>
        </w:rPr>
        <w:t xml:space="preserve"> 2013/1347328; 2016/23</w:t>
      </w:r>
      <w:r>
        <w:rPr>
          <w:color w:val="000000"/>
          <w:sz w:val="24"/>
          <w:szCs w:val="24"/>
          <w:lang w:val="pt-BR"/>
        </w:rPr>
        <w:t>060</w:t>
      </w:r>
      <w:r>
        <w:rPr>
          <w:color w:val="000000"/>
          <w:sz w:val="24"/>
          <w:szCs w:val="24"/>
          <w:lang w:val="pt-BR"/>
        </w:rPr>
        <w:t xml:space="preserve">76; </w:t>
      </w:r>
      <w:r>
        <w:rPr>
          <w:b/>
          <w:bCs/>
          <w:color w:val="000000"/>
          <w:sz w:val="24"/>
          <w:szCs w:val="24"/>
          <w:u w:val="single"/>
          <w:lang w:val="pt-BR"/>
        </w:rPr>
        <w:t>2015/19</w:t>
      </w:r>
      <w:r>
        <w:rPr>
          <w:b/>
          <w:bCs/>
          <w:color w:val="000000"/>
          <w:sz w:val="24"/>
          <w:szCs w:val="24"/>
          <w:u w:val="single"/>
          <w:lang w:val="pt-BR"/>
        </w:rPr>
        <w:t>8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2682 – relatando e votando pela conversão em DILIGENCIA para devolução </w:t>
      </w:r>
      <w:r>
        <w:rPr>
          <w:b/>
          <w:bCs/>
          <w:color w:val="000000"/>
          <w:sz w:val="24"/>
          <w:szCs w:val="24"/>
          <w:u w:val="single"/>
          <w:lang w:val="pt-BR"/>
        </w:rPr>
        <w:t>à PJ de Origem</w:t>
      </w:r>
      <w:r>
        <w:rPr>
          <w:b/>
          <w:bCs/>
          <w:color w:val="000000"/>
          <w:sz w:val="24"/>
          <w:szCs w:val="24"/>
          <w:lang w:val="pt-BR"/>
        </w:rPr>
        <w:t>;</w:t>
      </w:r>
      <w:r>
        <w:rPr>
          <w:color w:val="000000"/>
          <w:sz w:val="24"/>
          <w:szCs w:val="24"/>
          <w:lang w:val="pt-BR"/>
        </w:rPr>
        <w:t xml:space="preserve"> 2012/799555; 2012/860900; 2009/32760; 2014/1516445; 2018/43480; 2017/2622480; 2016/2302700; 2016/2384991;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2015/1965795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>para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DILIGENCIA com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devolução </w:t>
      </w:r>
      <w:r>
        <w:rPr>
          <w:b/>
          <w:bCs/>
          <w:color w:val="000000"/>
          <w:sz w:val="24"/>
          <w:szCs w:val="24"/>
          <w:u w:val="single"/>
          <w:lang w:val="pt-BR"/>
        </w:rPr>
        <w:t>à Secretaria do CSMP para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juntada de cópia d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a promoção de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arquivamento </w:t>
      </w:r>
      <w:r>
        <w:rPr>
          <w:b/>
          <w:bCs/>
          <w:color w:val="000000"/>
          <w:sz w:val="24"/>
          <w:szCs w:val="24"/>
          <w:u w:val="single"/>
          <w:lang w:val="pt-BR"/>
        </w:rPr>
        <w:t>que não se encontra nos autos;</w:t>
      </w:r>
      <w:r>
        <w:rPr>
          <w:color w:val="000000"/>
          <w:sz w:val="24"/>
          <w:szCs w:val="24"/>
          <w:u w:val="none"/>
          <w:lang w:val="pt-BR"/>
        </w:rPr>
        <w:t xml:space="preserve"> 2014/1470603;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2015/2004592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>Determinando sua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redistribuição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por </w:t>
      </w:r>
      <w:r>
        <w:rPr>
          <w:b/>
          <w:bCs/>
          <w:color w:val="000000"/>
          <w:sz w:val="24"/>
          <w:szCs w:val="24"/>
          <w:u w:val="single"/>
          <w:lang w:val="pt-BR"/>
        </w:rPr>
        <w:t>es</w:t>
      </w:r>
      <w:r>
        <w:rPr>
          <w:b/>
          <w:bCs/>
          <w:color w:val="000000"/>
          <w:sz w:val="24"/>
          <w:szCs w:val="24"/>
          <w:u w:val="single"/>
          <w:lang w:val="pt-BR"/>
        </w:rPr>
        <w:t>t</w:t>
      </w:r>
      <w:r>
        <w:rPr>
          <w:b/>
          <w:bCs/>
          <w:color w:val="000000"/>
          <w:sz w:val="24"/>
          <w:szCs w:val="24"/>
          <w:u w:val="single"/>
          <w:lang w:val="pt-BR"/>
        </w:rPr>
        <w:t>a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r </w:t>
      </w:r>
      <w:r>
        <w:rPr>
          <w:b/>
          <w:bCs/>
          <w:color w:val="000000"/>
          <w:sz w:val="24"/>
          <w:szCs w:val="24"/>
          <w:u w:val="single"/>
          <w:lang w:val="pt-BR"/>
        </w:rPr>
        <w:t>em exercício na PJ de origem</w:t>
      </w:r>
      <w:r>
        <w:rPr>
          <w:b/>
          <w:bCs/>
          <w:color w:val="000000"/>
          <w:sz w:val="24"/>
          <w:szCs w:val="24"/>
          <w:u w:val="none"/>
          <w:lang w:val="pt-BR"/>
        </w:rPr>
        <w:t>;</w:t>
      </w:r>
      <w:r>
        <w:rPr>
          <w:color w:val="000000"/>
          <w:sz w:val="24"/>
          <w:szCs w:val="24"/>
          <w:u w:val="none"/>
          <w:lang w:val="pt-BR"/>
        </w:rPr>
        <w:t xml:space="preserve"> 2017/2</w:t>
      </w:r>
      <w:r>
        <w:rPr>
          <w:color w:val="000000"/>
          <w:sz w:val="24"/>
          <w:szCs w:val="24"/>
          <w:u w:val="none"/>
          <w:lang w:val="pt-BR"/>
        </w:rPr>
        <w:t>7</w:t>
      </w:r>
      <w:r>
        <w:rPr>
          <w:color w:val="000000"/>
          <w:sz w:val="24"/>
          <w:szCs w:val="24"/>
          <w:u w:val="none"/>
          <w:lang w:val="pt-BR"/>
        </w:rPr>
        <w:t xml:space="preserve">47734; 2019/129967; 2019/156982; 2017/2626511; 2014/1527937; 2015/1820262;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2013/1298424 </w:t>
      </w:r>
      <w:r>
        <w:rPr>
          <w:b/>
          <w:bCs/>
          <w:color w:val="000000"/>
          <w:sz w:val="24"/>
          <w:szCs w:val="24"/>
          <w:u w:val="single"/>
          <w:lang w:val="pt-BR"/>
        </w:rPr>
        <w:t>e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2012/601861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>Determinando sua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redistribuição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por </w:t>
      </w:r>
      <w:r>
        <w:rPr>
          <w:b/>
          <w:bCs/>
          <w:color w:val="000000"/>
          <w:sz w:val="24"/>
          <w:szCs w:val="24"/>
          <w:u w:val="single"/>
          <w:lang w:val="pt-BR"/>
        </w:rPr>
        <w:t>es</w:t>
      </w:r>
      <w:r>
        <w:rPr>
          <w:b/>
          <w:bCs/>
          <w:color w:val="000000"/>
          <w:sz w:val="24"/>
          <w:szCs w:val="24"/>
          <w:u w:val="single"/>
          <w:lang w:val="pt-BR"/>
        </w:rPr>
        <w:t>t</w:t>
      </w:r>
      <w:r>
        <w:rPr>
          <w:b/>
          <w:bCs/>
          <w:color w:val="000000"/>
          <w:sz w:val="24"/>
          <w:szCs w:val="24"/>
          <w:u w:val="single"/>
          <w:lang w:val="pt-BR"/>
        </w:rPr>
        <w:t>a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r </w:t>
      </w:r>
      <w:r>
        <w:rPr>
          <w:b/>
          <w:bCs/>
          <w:color w:val="000000"/>
          <w:sz w:val="24"/>
          <w:szCs w:val="24"/>
          <w:u w:val="single"/>
          <w:lang w:val="pt-BR"/>
        </w:rPr>
        <w:t>em exercício na PJ de origem</w:t>
      </w:r>
      <w:r>
        <w:rPr>
          <w:b/>
          <w:bCs/>
          <w:color w:val="000000"/>
          <w:sz w:val="24"/>
          <w:szCs w:val="24"/>
          <w:u w:val="single"/>
          <w:lang w:val="pt-BR"/>
        </w:rPr>
        <w:t>;</w:t>
      </w:r>
      <w:r>
        <w:rPr>
          <w:color w:val="000000"/>
          <w:sz w:val="24"/>
          <w:szCs w:val="24"/>
          <w:u w:val="none"/>
          <w:lang w:val="pt-BR"/>
        </w:rPr>
        <w:t xml:space="preserve"> 2017/2647590; 2016/2310181;</w:t>
      </w:r>
      <w:r>
        <w:rPr>
          <w:color w:val="000000"/>
          <w:sz w:val="24"/>
          <w:szCs w:val="24"/>
          <w:u w:val="singl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2016/2504534 –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relatando e votando pela </w:t>
      </w:r>
      <w:r>
        <w:rPr>
          <w:b/>
          <w:bCs/>
          <w:color w:val="000000"/>
          <w:sz w:val="24"/>
          <w:szCs w:val="24"/>
          <w:u w:val="single"/>
          <w:lang w:val="pt-BR"/>
        </w:rPr>
        <w:t>desnecessidade de arquivam</w:t>
      </w:r>
      <w:r>
        <w:rPr>
          <w:b/>
          <w:bCs/>
          <w:color w:val="000000"/>
          <w:sz w:val="24"/>
          <w:szCs w:val="24"/>
          <w:u w:val="single"/>
          <w:lang w:val="pt-BR"/>
        </w:rPr>
        <w:t>ento pelo CSMP,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 com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a consequente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devolução </w:t>
      </w:r>
      <w:r>
        <w:rPr>
          <w:b/>
          <w:bCs/>
          <w:color w:val="000000"/>
          <w:sz w:val="24"/>
          <w:szCs w:val="24"/>
          <w:u w:val="single"/>
          <w:lang w:val="pt-BR"/>
        </w:rPr>
        <w:t xml:space="preserve">dos autos </w:t>
      </w:r>
      <w:r>
        <w:rPr>
          <w:b/>
          <w:bCs/>
          <w:color w:val="000000"/>
          <w:sz w:val="24"/>
          <w:szCs w:val="24"/>
          <w:u w:val="single"/>
          <w:lang w:val="pt-BR"/>
        </w:rPr>
        <w:t>à PJ de origem;</w:t>
      </w:r>
      <w:r>
        <w:rPr>
          <w:b/>
          <w:bCs/>
          <w:color w:val="000000"/>
          <w:sz w:val="24"/>
          <w:szCs w:val="24"/>
          <w:u w:val="none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2012/789332 – conversão em DILIGÊNCIA para devolução à PJ origem para providências conforme voto</w:t>
      </w:r>
      <w:r>
        <w:rPr>
          <w:b/>
          <w:bCs/>
          <w:color w:val="000000"/>
          <w:sz w:val="24"/>
          <w:szCs w:val="24"/>
          <w:u w:val="none"/>
          <w:lang w:val="pt-BR"/>
        </w:rPr>
        <w:t>;</w:t>
      </w:r>
      <w:r>
        <w:rPr>
          <w:color w:val="000000"/>
          <w:sz w:val="24"/>
          <w:szCs w:val="24"/>
          <w:u w:val="none"/>
          <w:lang w:val="pt-BR"/>
        </w:rPr>
        <w:t xml:space="preserve"> 2012/880212. Relatando e votando pela(s) homologação(ções) do(s) arquivamento(s), redistribuição(ções) e diligências(s), conforme voto. </w:t>
      </w:r>
      <w:r>
        <w:rPr>
          <w:color w:val="000000"/>
          <w:sz w:val="24"/>
          <w:szCs w:val="24"/>
          <w:lang w:val="pt-BR"/>
        </w:rPr>
        <w:t>Colocado(s) em votação, foi determinado, por unanimidade, o</w:t>
      </w:r>
      <w:r>
        <w:rPr>
          <w:color w:val="000000"/>
          <w:sz w:val="24"/>
          <w:szCs w:val="24"/>
          <w:lang w:val="pt-BR"/>
        </w:rPr>
        <w:t>s</w:t>
      </w:r>
      <w:r>
        <w:rPr>
          <w:color w:val="000000"/>
          <w:sz w:val="24"/>
          <w:szCs w:val="24"/>
          <w:lang w:val="pt-BR"/>
        </w:rPr>
        <w:t xml:space="preserve"> arquivamento</w:t>
      </w:r>
      <w:r>
        <w:rPr>
          <w:color w:val="000000"/>
          <w:sz w:val="24"/>
          <w:szCs w:val="24"/>
          <w:lang w:val="pt-BR"/>
        </w:rPr>
        <w:t>s</w:t>
      </w:r>
      <w:r>
        <w:rPr>
          <w:color w:val="000000"/>
          <w:sz w:val="24"/>
          <w:szCs w:val="24"/>
          <w:lang w:val="pt-BR"/>
        </w:rPr>
        <w:t>, conversões em diligências e redistribuiç</w:t>
      </w:r>
      <w:r>
        <w:rPr>
          <w:color w:val="000000"/>
          <w:sz w:val="24"/>
          <w:szCs w:val="24"/>
          <w:lang w:val="pt-BR"/>
        </w:rPr>
        <w:t>ões,</w:t>
      </w:r>
      <w:r>
        <w:rPr>
          <w:color w:val="000000"/>
          <w:sz w:val="24"/>
          <w:szCs w:val="24"/>
          <w:lang w:val="pt-BR"/>
        </w:rPr>
        <w:t xml:space="preserve"> nos termos do voto da relatora. </w:t>
      </w:r>
      <w:bookmarkStart w:id="0" w:name="__DdeLink__239_2928907843"/>
      <w:r>
        <w:rPr>
          <w:color w:val="000000"/>
          <w:sz w:val="24"/>
          <w:szCs w:val="24"/>
          <w:lang w:val="pt-BR"/>
        </w:rPr>
        <w:t>A Presidente</w:t>
      </w:r>
      <w:bookmarkEnd w:id="0"/>
      <w:r>
        <w:rPr>
          <w:color w:val="000000"/>
          <w:sz w:val="24"/>
          <w:szCs w:val="24"/>
          <w:lang w:val="pt-BR"/>
        </w:rPr>
        <w:t xml:space="preserve"> do Conselho, em exercício, agradeceu a todos e declarou encerrada a sessão.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sectPr>
      <w:headerReference w:type="default" r:id="rId2"/>
      <w:type w:val="nextPage"/>
      <w:pgSz w:w="11906" w:h="16838"/>
      <w:pgMar w:left="1440" w:right="1440" w:header="72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left" w:pos="260" w:leader="none"/>
        <w:tab w:val="right" w:pos="9098" w:leader="none"/>
      </w:tabs>
      <w:spacing w:lineRule="auto" w:line="240"/>
      <w:jc w:val="center"/>
      <w:rPr/>
    </w:pPr>
    <w:r>
      <w:rPr/>
      <w:drawing>
        <wp:inline distT="0" distB="0" distL="0" distR="0">
          <wp:extent cx="828040" cy="598805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spacing w:lineRule="auto" w:line="240"/>
      <w:ind w:left="8727" w:right="-739" w:hanging="10428"/>
      <w:jc w:val="center"/>
      <w:rPr>
        <w:b/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MINISTÉRIO PÚBLICO DO ESTADO DE PERNAMBUCO</w:t>
    </w:r>
  </w:p>
  <w:p>
    <w:pPr>
      <w:pStyle w:val="Normal"/>
      <w:spacing w:lineRule="auto" w:line="240"/>
      <w:ind w:left="8727" w:right="-739" w:hanging="10428"/>
      <w:jc w:val="center"/>
      <w:rPr>
        <w:b/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PROCURADORIA GERAL DE JUSTIÇA</w:t>
    </w:r>
  </w:p>
  <w:p>
    <w:pPr>
      <w:pStyle w:val="Normal"/>
      <w:spacing w:lineRule="auto" w:line="240"/>
      <w:ind w:left="8727" w:right="-739" w:hanging="10428"/>
      <w:jc w:val="center"/>
      <w:rPr>
        <w:b/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w="http://schemas.openxmlformats.org/wordprocessingml/2006/main">
  <w:zoom w:percent="13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0"/>
        <w:szCs w:val="22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true"/>
      <w:bidi w:val="0"/>
      <w:spacing w:lineRule="auto" w:line="276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Ttulo2">
    <w:name w:val="Heading 2"/>
    <w:basedOn w:val="Normal"/>
    <w:next w:val="Normal"/>
    <w:qFormat/>
    <w:pPr>
      <w:keepNext w:val="true"/>
      <w:keepLines/>
      <w:spacing w:lineRule="auto" w:line="240" w:before="360" w:after="120"/>
    </w:pPr>
    <w:rPr>
      <w:sz w:val="32"/>
      <w:szCs w:val="32"/>
    </w:rPr>
  </w:style>
  <w:style w:type="paragraph" w:styleId="Ttulo3">
    <w:name w:val="Heading 3"/>
    <w:basedOn w:val="Normal"/>
    <w:next w:val="Normal"/>
    <w:qFormat/>
    <w:pPr>
      <w:keepNext w:val="true"/>
      <w:keepLines/>
      <w:spacing w:lineRule="auto" w:line="240" w:before="320" w:after="80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qFormat/>
    <w:pPr>
      <w:keepNext w:val="true"/>
      <w:keepLines/>
      <w:spacing w:lineRule="auto" w:line="240" w:before="240" w:after="80"/>
    </w:pPr>
    <w:rPr>
      <w:color w:val="666666"/>
    </w:rPr>
  </w:style>
  <w:style w:type="paragraph" w:styleId="Ttulo6">
    <w:name w:val="Heading 6"/>
    <w:basedOn w:val="Normal"/>
    <w:next w:val="Normal"/>
    <w:qFormat/>
    <w:pPr>
      <w:keepNext w:val="true"/>
      <w:keepLines/>
      <w:spacing w:lineRule="auto" w:line="240" w:before="240" w:after="80"/>
    </w:pPr>
    <w:rPr>
      <w:i/>
      <w:color w:val="666666"/>
    </w:rPr>
  </w:style>
  <w:style w:type="character" w:styleId="DefaultParagraphFont">
    <w:name w:val="Default Paragraph Font"/>
    <w:qFormat/>
    <w:rPr/>
  </w:style>
  <w:style w:type="character" w:styleId="WW8Num2z0">
    <w:name w:val="WW8Num2z0"/>
    <w:qFormat/>
    <w:rPr>
      <w:rFonts w:ascii="Arial" w:hAnsi="Arial" w:cs="Times New Roman"/>
      <w:b/>
      <w:color w:val="000000"/>
      <w:sz w:val="28"/>
      <w:szCs w:val="28"/>
    </w:rPr>
  </w:style>
  <w:style w:type="character" w:styleId="TextodebaloChar">
    <w:name w:val="Texto de balão Char"/>
    <w:basedOn w:val="DefaultParagraphFont"/>
    <w:qFormat/>
    <w:rPr>
      <w:rFonts w:ascii="Tahoma" w:hAnsi="Tahoma" w:cs="Mangal"/>
      <w:color w:val="00000A"/>
      <w:sz w:val="16"/>
      <w:szCs w:val="14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dodocumento">
    <w:name w:val="Title"/>
    <w:basedOn w:val="Normal"/>
    <w:qFormat/>
    <w:pPr>
      <w:keepNext w:val="true"/>
      <w:keepLines/>
      <w:spacing w:before="0" w:after="60"/>
    </w:pPr>
    <w:rPr>
      <w:color w:val="auto"/>
      <w:sz w:val="52"/>
      <w:szCs w:val="52"/>
    </w:rPr>
  </w:style>
  <w:style w:type="paragraph" w:styleId="LOnormal">
    <w:name w:val="LO-normal"/>
    <w:qFormat/>
    <w:pPr>
      <w:widowControl/>
      <w:overflowPunct w:val="true"/>
      <w:bidi w:val="0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Subttulo">
    <w:name w:val="Subtitle"/>
    <w:basedOn w:val="LOnormal"/>
    <w:next w:val="Normal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Cabealho">
    <w:name w:val="Header"/>
    <w:basedOn w:val="Normal"/>
    <w:pPr/>
    <w:rPr/>
  </w:style>
  <w:style w:type="paragraph" w:styleId="NormalWeb">
    <w:name w:val="Normal (Web)"/>
    <w:basedOn w:val="Normal"/>
    <w:qFormat/>
    <w:pPr>
      <w:spacing w:before="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Mangal"/>
      <w:sz w:val="16"/>
      <w:szCs w:val="14"/>
    </w:rPr>
  </w:style>
  <w:style w:type="numbering" w:styleId="NoList">
    <w:name w:val="No List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Application>LibreOffice/6.0.7.3$Windows_X86_64 LibreOffice_project/dc89aa7a9eabfd848af146d5086077aeed2ae4a5</Application>
  <Pages>2</Pages>
  <Words>771</Words>
  <Characters>5027</Characters>
  <CharactersWithSpaces>5811</CharactersWithSpaces>
  <Paragraphs>13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2019-05-08T18:27:00Z</dcterms:created>
  <dc:creator/>
  <dc:description/>
  <dc:language>pt-BR</dc:language>
  <cp:lastModifiedBy/>
  <dcterms:modified xsi:type="dcterms:W3CDTF">2019-07-23T12:50:10Z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