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header1.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theme/theme1.xml" ContentType="application/vnd.openxmlformats-officedocument.theme+xml"/>
  <Override PartName="/word/header1.xml" ContentType="application/vnd.openxmlformats-officedocument.wordprocessingml.header+xml"/>
  <Override PartName="/word/media/image1.png" ContentType="image/png"/>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LOnormal"/>
        <w:rPr/>
      </w:pPr>
      <w:r>
        <w:rPr/>
      </w:r>
    </w:p>
    <w:p>
      <w:pPr>
        <w:pStyle w:val="LOnormal"/>
        <w:rPr/>
      </w:pPr>
      <w:r>
        <w:rPr/>
      </w:r>
    </w:p>
    <w:p>
      <w:pPr>
        <w:pStyle w:val="LOnormal"/>
        <w:jc w:val="both"/>
        <w:rPr/>
      </w:pPr>
      <w:r>
        <w:rPr>
          <w:b/>
          <w:sz w:val="24"/>
          <w:szCs w:val="24"/>
        </w:rPr>
        <w:t>EXTRATO DA ATA DA 22ª SESSÃO ORDINÁRIA DO CONSELHO SUPERIOR DO MINISTÉRIO PÚBLICO</w:t>
      </w:r>
    </w:p>
    <w:p>
      <w:pPr>
        <w:pStyle w:val="LOnormal"/>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LOnormal"/>
        <w:jc w:val="both"/>
        <w:rPr/>
      </w:pPr>
      <w:r>
        <w:rPr>
          <w:b/>
          <w:sz w:val="24"/>
          <w:szCs w:val="24"/>
        </w:rPr>
        <w:t>Data</w:t>
      </w:r>
      <w:r>
        <w:rPr>
          <w:sz w:val="24"/>
          <w:szCs w:val="24"/>
        </w:rPr>
        <w:t>: 12 de junho de 2019</w:t>
      </w:r>
    </w:p>
    <w:p>
      <w:pPr>
        <w:pStyle w:val="LOnormal"/>
        <w:jc w:val="both"/>
        <w:rPr/>
      </w:pPr>
      <w:r>
        <w:rPr>
          <w:b/>
          <w:sz w:val="24"/>
          <w:szCs w:val="24"/>
        </w:rPr>
        <w:t>Horário</w:t>
      </w:r>
      <w:r>
        <w:rPr>
          <w:sz w:val="24"/>
          <w:szCs w:val="24"/>
        </w:rPr>
        <w:t>: 14:30min</w:t>
      </w:r>
    </w:p>
    <w:p>
      <w:pPr>
        <w:pStyle w:val="LOnormal"/>
        <w:jc w:val="both"/>
        <w:rPr>
          <w:rFonts w:ascii="Times New Roman" w:hAnsi="Times New Roman" w:eastAsia="Times New Roman" w:cs="Times New Roman"/>
          <w:sz w:val="24"/>
          <w:szCs w:val="24"/>
        </w:rPr>
      </w:pPr>
      <w:r>
        <w:rPr>
          <w:b/>
          <w:sz w:val="24"/>
          <w:szCs w:val="24"/>
        </w:rPr>
        <w:t>Local</w:t>
      </w:r>
      <w:r>
        <w:rPr>
          <w:sz w:val="24"/>
          <w:szCs w:val="24"/>
        </w:rPr>
        <w:t>: Salão dos Órgãos Colegiados da Procuradoria Geral de Justiça, localizado na Rua do Imperador D. Pedro II, n.º 473, Bairro de Santo Antônio, Recife/PE.</w:t>
      </w:r>
    </w:p>
    <w:p>
      <w:pPr>
        <w:pStyle w:val="LOnormal"/>
        <w:jc w:val="both"/>
        <w:rPr>
          <w:sz w:val="24"/>
          <w:szCs w:val="24"/>
          <w:highlight w:val="cyan"/>
        </w:rPr>
      </w:pPr>
      <w:r>
        <w:rPr>
          <w:b/>
          <w:sz w:val="24"/>
          <w:szCs w:val="24"/>
        </w:rPr>
        <w:t>Presidência</w:t>
      </w:r>
      <w:r>
        <w:rPr>
          <w:sz w:val="24"/>
          <w:szCs w:val="24"/>
        </w:rPr>
        <w:t>: Dr. Clênio Valença de Avelino Andrade</w:t>
      </w:r>
    </w:p>
    <w:p>
      <w:pPr>
        <w:pStyle w:val="LOnormal"/>
        <w:jc w:val="both"/>
        <w:rPr/>
      </w:pPr>
      <w:r>
        <w:rPr>
          <w:b/>
          <w:sz w:val="24"/>
          <w:szCs w:val="24"/>
          <w:shd w:fill="FAFCFD" w:val="clear"/>
        </w:rPr>
        <w:t>C</w:t>
      </w:r>
      <w:r>
        <w:rPr>
          <w:b/>
          <w:sz w:val="24"/>
          <w:szCs w:val="24"/>
        </w:rPr>
        <w:t>onselheiros Presentes</w:t>
      </w:r>
      <w:r>
        <w:rPr>
          <w:sz w:val="24"/>
          <w:szCs w:val="24"/>
        </w:rPr>
        <w:t>: Dr. ALEXANDRE AUGUSTO BEZERRA, Corregedor-Geral, Dr. CARLOS ALBERTO PEREIRA VITÓRIO, Drª LUCIANA MACIEL DANTAS FIGUEIREDO (substituindo Dr. RINALDO JORGE DA SILVA), Dr. SALOMÃO ABDO AZIZ ISMAIL FILHO (substituindo Dr.ª MARIA LIZANDRA LIRA DE CARVALHO), Dr. FERNANDO FALCÃO FERRAZ FILHO.</w:t>
      </w:r>
    </w:p>
    <w:p>
      <w:pPr>
        <w:pStyle w:val="LOnormal"/>
        <w:jc w:val="both"/>
        <w:rPr>
          <w:rFonts w:ascii="Times New Roman" w:hAnsi="Times New Roman" w:eastAsia="Times New Roman" w:cs="Times New Roman"/>
          <w:sz w:val="24"/>
          <w:szCs w:val="24"/>
        </w:rPr>
      </w:pPr>
      <w:r>
        <w:rPr>
          <w:b/>
          <w:sz w:val="24"/>
          <w:szCs w:val="24"/>
        </w:rPr>
        <w:t>Representante da AMPPE:</w:t>
      </w:r>
      <w:r>
        <w:rPr>
          <w:sz w:val="24"/>
          <w:szCs w:val="24"/>
        </w:rPr>
        <w:t xml:space="preserve"> Dr. Marcos Carvalho</w:t>
      </w:r>
    </w:p>
    <w:p>
      <w:pPr>
        <w:pStyle w:val="LOnormal"/>
        <w:jc w:val="both"/>
        <w:rPr>
          <w:rFonts w:ascii="Times New Roman" w:hAnsi="Times New Roman" w:eastAsia="Times New Roman" w:cs="Times New Roman"/>
          <w:sz w:val="24"/>
          <w:szCs w:val="24"/>
        </w:rPr>
      </w:pPr>
      <w:r>
        <w:rPr>
          <w:b/>
          <w:sz w:val="24"/>
          <w:szCs w:val="24"/>
        </w:rPr>
        <w:t>Secretário:</w:t>
      </w:r>
      <w:r>
        <w:rPr>
          <w:sz w:val="24"/>
          <w:szCs w:val="24"/>
        </w:rPr>
        <w:t xml:space="preserve"> Dr. Petrúcio Luna.</w:t>
      </w:r>
    </w:p>
    <w:p>
      <w:pPr>
        <w:pStyle w:val="LOnormal"/>
        <w:jc w:val="both"/>
        <w:rPr/>
      </w:pPr>
      <w:r>
        <w:rPr>
          <w:sz w:val="24"/>
          <w:szCs w:val="24"/>
        </w:rPr>
        <w:t>Dando início aos trabalhos o Presidente do Conselho, em exercício, Dr. Clênio Valença de Avelino Andrade, cumprimentou todos os presentes. Solicitou que o Secretário desse prosseguimento com a verificação da constituição do quórum regimental. Tendo o Secretário constatado o comparecimento dos Conselheiros acima mencionados, ausência justificada de Stanley Araujo Correia e Fernanda Henriques da Nobrega. Com a correspondente constituição do quórum regimental foi passada a palavra ao Presidente em exercício, que declarou aberta a sessão, passando a tratar dos assuntos previstos em pauta:</w:t>
      </w:r>
      <w:r>
        <w:rPr>
          <w:b/>
          <w:sz w:val="24"/>
          <w:szCs w:val="24"/>
        </w:rPr>
        <w:t xml:space="preserve"> I – Comunicações da Presidência: não houve comunicações. II - Aprovação de Ata: </w:t>
      </w:r>
      <w:r>
        <w:rPr>
          <w:sz w:val="24"/>
          <w:szCs w:val="24"/>
        </w:rPr>
        <w:t xml:space="preserve">colocada em apreciação os extratos das Atas da 20ª e 21ª sessões ordinárias, realizadas em 05.06.2019. Foi aberta à discussão. Feitos os ajustes solicitados. Colocada em votação, foi aprovada, à unanimidade. </w:t>
      </w:r>
      <w:r>
        <w:rPr>
          <w:b/>
          <w:sz w:val="24"/>
          <w:szCs w:val="24"/>
        </w:rPr>
        <w:t xml:space="preserve">III - Comunicações diversas: </w:t>
      </w:r>
      <w:r>
        <w:rPr>
          <w:sz w:val="24"/>
          <w:szCs w:val="24"/>
        </w:rPr>
        <w:t xml:space="preserve">o Conselheiro Salomão Abdo Filho sugeriu que fossem disponibilizados aos Conselheiros os requerimentos, na integra, de remoção e promoção por merecimento para análise do Conselho. </w:t>
      </w:r>
      <w:r>
        <w:rPr>
          <w:sz w:val="24"/>
          <w:szCs w:val="24"/>
          <w:u w:val="single"/>
        </w:rPr>
        <w:t>Colocado em votação, o Conselho, à unanimidade, deliberou</w:t>
      </w:r>
      <w:r>
        <w:rPr>
          <w:b/>
          <w:sz w:val="24"/>
          <w:szCs w:val="24"/>
          <w:u w:val="single"/>
        </w:rPr>
        <w:t xml:space="preserve"> DILIGÊNICAS à secretaria do Conselho para que solicite a Coordenadoria de Informática o encaminhamento dos requerimentos feitos pelos membros. </w:t>
      </w:r>
      <w:r>
        <w:rPr>
          <w:b/>
          <w:sz w:val="24"/>
          <w:szCs w:val="24"/>
        </w:rPr>
        <w:t xml:space="preserve">III.I – Instaurações de Inquéritos Civis e PP’s: </w:t>
      </w:r>
      <w:r>
        <w:rPr/>
        <w:t>Doc. 9258954, Doc. 11146174, Doc. 11184265, Auto nº 2018/386241, Doc. 11177953, Doc. 11156606, SIIG nº 0003935-2/2019.</w:t>
      </w:r>
      <w:r>
        <w:rPr>
          <w:b/>
        </w:rPr>
        <w:t xml:space="preserve"> </w:t>
      </w:r>
      <w:r>
        <w:rPr>
          <w:b/>
          <w:bCs/>
          <w:sz w:val="24"/>
          <w:szCs w:val="24"/>
          <w:u w:val="single"/>
        </w:rPr>
        <w:t xml:space="preserve">III.II – Conversão de NF’s em PP’s, PP’s em  IC’s: </w:t>
      </w:r>
      <w:r>
        <w:rPr/>
        <w:t>Doc. 11168060, Doc. 11168585, Doc. 11176782, Doc. 11142564, Doc. 11157005, Doc. 11141843, Doc. 11143186.</w:t>
      </w:r>
      <w:r>
        <w:rPr>
          <w:b/>
        </w:rPr>
        <w:t xml:space="preserve"> </w:t>
      </w:r>
      <w:r>
        <w:rPr>
          <w:b/>
          <w:bCs/>
          <w:sz w:val="24"/>
          <w:szCs w:val="24"/>
          <w:u w:val="single"/>
        </w:rPr>
        <w:t>III.III – Prorrogação de Prazo</w:t>
      </w:r>
      <w:r>
        <w:rPr>
          <w:bCs/>
          <w:sz w:val="24"/>
          <w:szCs w:val="24"/>
          <w:u w:val="single"/>
        </w:rPr>
        <w:t xml:space="preserve">: </w:t>
      </w:r>
      <w:r>
        <w:rPr/>
        <w:t>Doc. 9262205, Doc. 9262125, Doc. 9262080, Doc. 11131157, Doc. 11167271, Doc. 11171409, Doc. 11153715, Doc. 11154296, Doc. 11123150, Doc. 11159303, Doc. 11160505.</w:t>
      </w:r>
      <w:r>
        <w:rPr>
          <w:b/>
        </w:rPr>
        <w:t xml:space="preserve"> </w:t>
      </w:r>
      <w:r>
        <w:rPr>
          <w:b/>
          <w:bCs/>
          <w:u w:val="single"/>
        </w:rPr>
        <w:t>III.IV – Declinio de Atribuição</w:t>
      </w:r>
      <w:r>
        <w:rPr>
          <w:b/>
          <w:bCs/>
        </w:rPr>
        <w:t xml:space="preserve">: </w:t>
      </w:r>
      <w:r>
        <w:rPr>
          <w:bCs/>
        </w:rPr>
        <w:t>Doc. 11151954.</w:t>
      </w:r>
      <w:r>
        <w:rPr>
          <w:b/>
          <w:bCs/>
        </w:rPr>
        <w:t xml:space="preserve"> </w:t>
      </w:r>
      <w:r>
        <w:rPr>
          <w:b/>
          <w:bCs/>
          <w:u w:val="single"/>
        </w:rPr>
        <w:t>III.V – Ação Civil Pública</w:t>
      </w:r>
      <w:r>
        <w:rPr>
          <w:b/>
          <w:bCs/>
        </w:rPr>
        <w:t xml:space="preserve">: </w:t>
      </w:r>
      <w:r>
        <w:rPr>
          <w:bCs/>
        </w:rPr>
        <w:t>Doc. 11167563.</w:t>
      </w:r>
      <w:r>
        <w:rPr>
          <w:b/>
          <w:bCs/>
        </w:rPr>
        <w:t xml:space="preserve"> </w:t>
      </w:r>
      <w:r>
        <w:rPr>
          <w:b/>
          <w:bCs/>
          <w:u w:val="single"/>
        </w:rPr>
        <w:t>III.VI – Diversos</w:t>
      </w:r>
      <w:r>
        <w:rPr>
          <w:b/>
          <w:bCs/>
        </w:rPr>
        <w:t xml:space="preserve">: </w:t>
      </w:r>
      <w:r>
        <w:rPr/>
        <w:t>Auto nº 2018/298346, Auto nº 2019/16961.</w:t>
      </w:r>
      <w:r>
        <w:rPr>
          <w:b/>
        </w:rPr>
        <w:t xml:space="preserve"> </w:t>
      </w:r>
      <w:r>
        <w:rPr>
          <w:b/>
          <w:bCs/>
          <w:u w:val="single"/>
        </w:rPr>
        <w:t xml:space="preserve">III.VII – </w:t>
      </w:r>
      <w:r>
        <w:rPr>
          <w:b/>
          <w:u w:val="single"/>
        </w:rPr>
        <w:t xml:space="preserve">Processos de Distribuições Anteriores. </w:t>
      </w:r>
      <w:r>
        <w:rPr>
          <w:sz w:val="24"/>
          <w:szCs w:val="24"/>
        </w:rPr>
        <w:t xml:space="preserve">O Conselheiro Dr. Fernando Falcão Ferraz Filho trouxe o(s) processo(s): Autos 2017/2862777, doc. 10800971– </w:t>
      </w:r>
      <w:r>
        <w:rPr>
          <w:sz w:val="26"/>
          <w:szCs w:val="24"/>
        </w:rPr>
        <w:t>6º Relatório</w:t>
      </w:r>
      <w:r>
        <w:rPr>
          <w:sz w:val="24"/>
          <w:szCs w:val="24"/>
        </w:rPr>
        <w:t xml:space="preserve"> Trimestral, Dr. ..., relatando e votando pela aprovação do relatório com devolução à CGMP para as providências cabíveis. Colocado em votação, foi determinado, à unanimidade, a aprovação do relatório nos termos do voto do relator, devolvendo-se os autos à CGMP. O Conselheiro Dr. Salomão Abdo Aziz Ismail Filho trouxe o(s) processo(s): Autos 2019/309533 – 2º Relatório trimestral, Dr. ..., relatando e votando pela homologação do arquivamento e devolução dos autos à CGMP. Colocado(s) em votação, foi determinado, por unanimidade, a homologação dos arquivamentos nos termos do voto do relator. Autos 2017/2862926 – 7º Relatório trimestral, Dr. ..., relatando e votando pela homologação do arquivamento com devolução dos autos à CGMP e  </w:t>
      </w:r>
      <w:r>
        <w:rPr>
          <w:b/>
          <w:sz w:val="24"/>
          <w:szCs w:val="24"/>
          <w:u w:val="single"/>
        </w:rPr>
        <w:t>DILIGÊNCIA no sentido de encaminhar oficio à SGMP para através da CMGP, retificar dados da ficha funcional do promotor no que se refere a supostas licenças não gozada por ele</w:t>
      </w:r>
      <w:r>
        <w:rPr>
          <w:sz w:val="24"/>
          <w:szCs w:val="24"/>
        </w:rPr>
        <w:t xml:space="preserve">. Ficando registrado o impedimento do Corregedor Geral, Alexandre Augusto Bezerra. Colocado em votação, o Conselho, à unanimidade, acolheu o voto do relator para homologar o relatório e determinar a devolução dos autos à CGMP, diligenciando conforme voto do relator. Autos 2017/2862926 – Relatório de vitaliciamento, Dr. ..., relatando e votando pela homologação do arquivamento </w:t>
      </w:r>
      <w:r>
        <w:rPr>
          <w:b/>
          <w:sz w:val="24"/>
          <w:szCs w:val="24"/>
        </w:rPr>
        <w:t xml:space="preserve">e </w:t>
      </w:r>
      <w:r>
        <w:rPr>
          <w:b/>
          <w:sz w:val="24"/>
          <w:szCs w:val="24"/>
          <w:u w:val="single"/>
        </w:rPr>
        <w:t>DILIGÊNCIA no sentido de os autos, apenas, serem encaminhados ao Procurador Geral de Justiça quando completados dois anos de vitaliciamento</w:t>
      </w:r>
      <w:r>
        <w:rPr>
          <w:b/>
          <w:sz w:val="24"/>
          <w:szCs w:val="24"/>
        </w:rPr>
        <w:t>.</w:t>
      </w:r>
      <w:r>
        <w:rPr>
          <w:sz w:val="24"/>
          <w:szCs w:val="24"/>
        </w:rPr>
        <w:t xml:space="preserve">  Colocado em votação, o Conselho, à unanimidade, acolheu o voto do relator para homologar o relatório e determinar a devolução dos autos ao PGJ, nos termos do voto do relator. O Conselheiro Dr. Fernando Falcão Ferraz Filho trouxe o(s) processo(s): Autos 2019/93361, Inspeção nª 11/2019; 2019/41384, Correição nº 24/2019; 2019/85176, Correição nº 29/2019; 2019/41374, Correição nº 23/2019; 2019/41208, Correição nº 18/2019. Relatando e votando pela homologação do arquivamento. Colocado(s) em votação, foi determinado, por unanimidade, a homologação dos arquivamentos nos termos do voto do relator e considerando que nos autos 2019/85176, 2019/41374 e 2019/41208, o Corregedor geral, Alexandre Bezerra foi declarado impedido</w:t>
      </w:r>
      <w:r>
        <w:rPr>
          <w:b/>
          <w:sz w:val="24"/>
          <w:szCs w:val="24"/>
        </w:rPr>
        <w:t xml:space="preserve">. </w:t>
      </w:r>
      <w:r>
        <w:rPr>
          <w:sz w:val="24"/>
          <w:szCs w:val="24"/>
        </w:rPr>
        <w:t xml:space="preserve">O Conselheiro Dr. Salomão Abdo Aziz Ismail Filho trouxe o(s) processo(s): Autos 2017/2696836; 2017/2868576; 2016/2366983. </w:t>
      </w:r>
      <w:r>
        <w:rPr>
          <w:b/>
          <w:sz w:val="24"/>
          <w:szCs w:val="24"/>
          <w:u w:val="single"/>
        </w:rPr>
        <w:t>Relatando e votando pela conversão em DILIGÊNCIA para devolução a PJ de origem a fim de que seja efetivada a notificação das partes interessadas acerca da decisão de arquivamento</w:t>
      </w:r>
      <w:r>
        <w:rPr>
          <w:sz w:val="24"/>
          <w:szCs w:val="24"/>
          <w:u w:val="single"/>
        </w:rPr>
        <w:t xml:space="preserve">. </w:t>
      </w:r>
      <w:r>
        <w:rPr>
          <w:sz w:val="24"/>
          <w:szCs w:val="24"/>
        </w:rPr>
        <w:t xml:space="preserve">Colocado(s) em votação, foi determinado, por unanimidade, a conversão em diligência nos termos do voto do relator. Autos 2017/2725593; 2015/2126485; 2019/1009; 2015/1906930; 2012/643432; 2018/137733. Dra. Luciana Dantas declarou-se impedida nos autos 2019/1009. </w:t>
      </w:r>
      <w:r>
        <w:rPr>
          <w:b/>
          <w:sz w:val="24"/>
          <w:szCs w:val="24"/>
          <w:u w:val="single"/>
        </w:rPr>
        <w:t>Relatando e votando pela conversão em DILIGÊNCIA para com fundamento na Resolução CNMP homologação do(s) arquivamento(s)</w:t>
      </w:r>
      <w:r>
        <w:rPr>
          <w:b/>
          <w:sz w:val="24"/>
          <w:szCs w:val="24"/>
        </w:rPr>
        <w:t>.</w:t>
      </w:r>
      <w:r>
        <w:rPr>
          <w:sz w:val="24"/>
          <w:szCs w:val="24"/>
        </w:rPr>
        <w:t xml:space="preserve"> Colocado(s) em votação, o Conselho determinou, à unanimidade, o acolhimento do voto do relator, homologando os arquivamentos e considerando os autos 2019/1009, considerou-se impedida a Conselheira Luciana Dantas em razão de sua atuação. O Conselheiro Dr. Fernando Falcão Ferraz Filho trouxe o(s) processo(s): Autos 2014/1549422; 2013/363876; 2016/2462269; 2018/121701; 2017/2685702; 2018/190922; 2011/37633; 2014/1532971; 2015/1984909; 2016/2216539; 2018/2235891; </w:t>
      </w:r>
      <w:r>
        <w:rPr>
          <w:sz w:val="24"/>
          <w:szCs w:val="24"/>
          <w:u w:val="single"/>
        </w:rPr>
        <w:t>2015/1976964</w:t>
      </w:r>
      <w:r>
        <w:rPr>
          <w:sz w:val="24"/>
          <w:szCs w:val="24"/>
        </w:rPr>
        <w:t xml:space="preserve">; </w:t>
      </w:r>
      <w:r>
        <w:rPr>
          <w:sz w:val="24"/>
          <w:szCs w:val="24"/>
          <w:u w:val="single"/>
        </w:rPr>
        <w:t>2017/2817833</w:t>
      </w:r>
      <w:r>
        <w:rPr>
          <w:sz w:val="24"/>
          <w:szCs w:val="24"/>
        </w:rPr>
        <w:t xml:space="preserve">; 2013/1252990; 2018/324233; 2013/1384756; 2016/2207459; 2012/859690; 2018/113766; 2017/2763850; 2018/63943; 2015/2040843; 2013/10111; 2016/2456493; 2015/1802419; 2016/2622406; 2018/161223; 2016/2195074; 2018/273474;  </w:t>
      </w:r>
      <w:r>
        <w:rPr>
          <w:sz w:val="24"/>
          <w:szCs w:val="24"/>
          <w:u w:val="single"/>
        </w:rPr>
        <w:t>2017/2823039</w:t>
      </w:r>
      <w:r>
        <w:rPr>
          <w:sz w:val="24"/>
          <w:szCs w:val="24"/>
        </w:rPr>
        <w:t xml:space="preserve">; </w:t>
      </w:r>
      <w:r>
        <w:rPr>
          <w:sz w:val="24"/>
          <w:szCs w:val="24"/>
          <w:u w:val="single"/>
        </w:rPr>
        <w:t>2017/2787832</w:t>
      </w:r>
      <w:r>
        <w:rPr>
          <w:sz w:val="24"/>
          <w:szCs w:val="24"/>
        </w:rPr>
        <w:t>; 2016/2280633; 2015/1937136; 2014/1630529. Relatando e votando pela homologação dos arquivamentos e</w:t>
      </w:r>
      <w:r>
        <w:rPr>
          <w:b/>
          <w:sz w:val="24"/>
          <w:szCs w:val="24"/>
        </w:rPr>
        <w:t xml:space="preserve"> </w:t>
      </w:r>
      <w:r>
        <w:rPr>
          <w:b/>
          <w:sz w:val="24"/>
          <w:szCs w:val="24"/>
          <w:u w:val="single"/>
        </w:rPr>
        <w:t>conversão em DILIGÊNCIAS dos autos 2015/1976964, por conhecer do recurso administrativo negando provimento por não caracterizar ato de improbidade administrativa; Auto 2017/2817833, para devolução à PJ de origem para cientificar as partes do seu arquivamento; Auto 2017/2823039, para devolução à PJ de origem para arquivamento na forma da resolução e os autos 2017/2787832 no mesmo sentido do anterior</w:t>
      </w:r>
      <w:r>
        <w:rPr>
          <w:b/>
          <w:sz w:val="24"/>
          <w:szCs w:val="24"/>
        </w:rPr>
        <w:t xml:space="preserve">. </w:t>
      </w:r>
      <w:r>
        <w:rPr>
          <w:sz w:val="24"/>
          <w:szCs w:val="24"/>
        </w:rPr>
        <w:t>Colocado(s) em votação, o Conselho, à unanimidade, acolheu o voto do relator determinando as homologações dos arquivamentos e diligências conforme voto do relator. O Presidente em exercício leu a ata já retificada da 20ª sessão ordinária do CSMP. Colocado em votação, o Conselho, à unanimidade, determinou a aprovação da referida ata. O Presidente em exercício agradeceu a todos e declarou encerrada a sessão.</w:t>
      </w:r>
    </w:p>
    <w:p>
      <w:pPr>
        <w:pStyle w:val="LOnormal"/>
        <w:jc w:val="both"/>
        <w:rPr/>
      </w:pPr>
      <w:r>
        <w:rPr/>
      </w:r>
    </w:p>
    <w:sectPr>
      <w:headerReference w:type="default" r:id="rId2"/>
      <w:type w:val="nextPage"/>
      <w:pgSz w:w="11906" w:h="16838"/>
      <w:pgMar w:left="1440" w:right="1440" w:header="720" w:top="1440" w:footer="0" w:bottom="1440" w:gutter="0"/>
      <w:pgNumType w:start="1"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Arial">
    <w:charset w:val="00"/>
    <w:family w:val="roman"/>
    <w:pitch w:val="variable"/>
  </w:font>
  <w:font w:name="Tahoma">
    <w:charset w:val="00"/>
    <w:family w:val="roman"/>
    <w:pitch w:val="variable"/>
  </w:font>
  <w:font w:name="Liberation Sans">
    <w:altName w:val="Arial"/>
    <w:charset w:val="00"/>
    <w:family w:val="swiss"/>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LOnormal"/>
      <w:tabs>
        <w:tab w:val="left" w:pos="260" w:leader="none"/>
        <w:tab w:val="right" w:pos="9098" w:leader="none"/>
      </w:tabs>
      <w:jc w:val="center"/>
      <w:rPr/>
    </w:pPr>
    <w:r>
      <w:rPr/>
      <w:drawing>
        <wp:inline distT="0" distB="0" distL="0" distR="0">
          <wp:extent cx="828040" cy="598805"/>
          <wp:effectExtent l="0" t="0" r="0" b="0"/>
          <wp:docPr id="1" name="image1.pn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descr=""/>
                  <pic:cNvPicPr>
                    <a:picLocks noChangeAspect="1" noChangeArrowheads="1"/>
                  </pic:cNvPicPr>
                </pic:nvPicPr>
                <pic:blipFill>
                  <a:blip r:embed="rId1"/>
                  <a:stretch>
                    <a:fillRect/>
                  </a:stretch>
                </pic:blipFill>
                <pic:spPr bwMode="auto">
                  <a:xfrm>
                    <a:off x="0" y="0"/>
                    <a:ext cx="828040" cy="598805"/>
                  </a:xfrm>
                  <a:prstGeom prst="rect">
                    <a:avLst/>
                  </a:prstGeom>
                </pic:spPr>
              </pic:pic>
            </a:graphicData>
          </a:graphic>
        </wp:inline>
      </w:drawing>
    </w:r>
  </w:p>
  <w:p>
    <w:pPr>
      <w:pStyle w:val="LOnormal"/>
      <w:ind w:left="8727" w:right="-739" w:hanging="10428"/>
      <w:jc w:val="center"/>
      <w:rPr>
        <w:rFonts w:ascii="Times New Roman" w:hAnsi="Times New Roman" w:eastAsia="Times New Roman" w:cs="Times New Roman"/>
        <w:sz w:val="24"/>
        <w:szCs w:val="24"/>
      </w:rPr>
    </w:pPr>
    <w:r>
      <w:rPr>
        <w:b/>
        <w:sz w:val="24"/>
        <w:szCs w:val="24"/>
      </w:rPr>
      <w:t>MINISTÉRIO PÚBLICO DO ESTADO DE PERNAMBUCO</w:t>
    </w:r>
  </w:p>
  <w:p>
    <w:pPr>
      <w:pStyle w:val="LOnormal"/>
      <w:ind w:left="8727" w:right="-739" w:hanging="10428"/>
      <w:jc w:val="center"/>
      <w:rPr>
        <w:rFonts w:ascii="Times New Roman" w:hAnsi="Times New Roman" w:eastAsia="Times New Roman" w:cs="Times New Roman"/>
        <w:sz w:val="24"/>
        <w:szCs w:val="24"/>
      </w:rPr>
    </w:pPr>
    <w:r>
      <w:rPr>
        <w:b/>
        <w:sz w:val="24"/>
        <w:szCs w:val="24"/>
      </w:rPr>
      <w:t>PROCURADORIA GERAL DE JUSTIÇA</w:t>
    </w:r>
  </w:p>
  <w:p>
    <w:pPr>
      <w:pStyle w:val="LOnormal"/>
      <w:ind w:left="8727" w:right="-739" w:hanging="10428"/>
      <w:jc w:val="center"/>
      <w:rPr/>
    </w:pPr>
    <w:r>
      <w:rPr>
        <w:b/>
        <w:sz w:val="24"/>
        <w:szCs w:val="24"/>
      </w:rPr>
      <w:t>SECRETARIA DO CONSELHO SUPERIOR DO MINISTÉRIO PÚBLICO</w:t>
    </w:r>
  </w:p>
</w:hdr>
</file>

<file path=word/settings.xml><?xml version="1.0" encoding="utf-8"?>
<w:settings xmlns:w="http://schemas.openxmlformats.org/wordprocessingml/2006/main">
  <w:zoom w:percent="100"/>
  <w:defaultTabStop w:val="72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pt-BR"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Arial" w:cs="Arial"/>
        <w:szCs w:val="22"/>
        <w:lang w:val="pt-BR" w:eastAsia="pt-BR" w:bidi="ar-SA"/>
      </w:rPr>
    </w:rPrDefault>
    <w:pPrDefault>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pPr>
      <w:widowControl/>
      <w:bidi w:val="0"/>
      <w:spacing w:lineRule="auto" w:line="276"/>
      <w:jc w:val="left"/>
    </w:pPr>
    <w:rPr>
      <w:rFonts w:ascii="Arial" w:hAnsi="Arial" w:eastAsia="Arial" w:cs="Arial"/>
      <w:color w:val="auto"/>
      <w:kern w:val="0"/>
      <w:sz w:val="22"/>
      <w:szCs w:val="22"/>
      <w:lang w:val="pt-BR" w:eastAsia="pt-BR" w:bidi="ar-SA"/>
    </w:rPr>
  </w:style>
  <w:style w:type="paragraph" w:styleId="Ttulo1">
    <w:name w:val="Heading 1"/>
    <w:basedOn w:val="Normal"/>
    <w:qFormat/>
    <w:rsid w:val="003c73dd"/>
    <w:pPr>
      <w:keepNext w:val="true"/>
      <w:keepLines/>
      <w:widowControl w:val="false"/>
      <w:spacing w:before="400" w:after="120"/>
      <w:outlineLvl w:val="0"/>
    </w:pPr>
    <w:rPr>
      <w:sz w:val="40"/>
      <w:szCs w:val="40"/>
    </w:rPr>
  </w:style>
  <w:style w:type="paragraph" w:styleId="Ttulo2">
    <w:name w:val="Heading 2"/>
    <w:basedOn w:val="Normal"/>
    <w:qFormat/>
    <w:rsid w:val="003c73dd"/>
    <w:pPr>
      <w:keepNext w:val="true"/>
      <w:keepLines/>
      <w:widowControl w:val="false"/>
      <w:spacing w:before="360" w:after="120"/>
      <w:outlineLvl w:val="1"/>
    </w:pPr>
    <w:rPr>
      <w:sz w:val="32"/>
      <w:szCs w:val="32"/>
    </w:rPr>
  </w:style>
  <w:style w:type="paragraph" w:styleId="Ttulo3">
    <w:name w:val="Heading 3"/>
    <w:basedOn w:val="Normal"/>
    <w:qFormat/>
    <w:rsid w:val="003c73dd"/>
    <w:pPr>
      <w:keepNext w:val="true"/>
      <w:keepLines/>
      <w:widowControl w:val="false"/>
      <w:spacing w:before="320" w:after="80"/>
      <w:outlineLvl w:val="2"/>
    </w:pPr>
    <w:rPr>
      <w:color w:val="434343"/>
      <w:sz w:val="28"/>
      <w:szCs w:val="28"/>
    </w:rPr>
  </w:style>
  <w:style w:type="paragraph" w:styleId="Ttulo4">
    <w:name w:val="Heading 4"/>
    <w:basedOn w:val="Normal"/>
    <w:qFormat/>
    <w:rsid w:val="003c73dd"/>
    <w:pPr>
      <w:keepNext w:val="true"/>
      <w:keepLines/>
      <w:widowControl w:val="false"/>
      <w:spacing w:before="280" w:after="80"/>
      <w:outlineLvl w:val="3"/>
    </w:pPr>
    <w:rPr>
      <w:color w:val="666666"/>
      <w:sz w:val="24"/>
      <w:szCs w:val="24"/>
    </w:rPr>
  </w:style>
  <w:style w:type="paragraph" w:styleId="Ttulo5">
    <w:name w:val="Heading 5"/>
    <w:basedOn w:val="Normal"/>
    <w:qFormat/>
    <w:rsid w:val="003c73dd"/>
    <w:pPr>
      <w:keepNext w:val="true"/>
      <w:keepLines/>
      <w:widowControl w:val="false"/>
      <w:spacing w:before="240" w:after="80"/>
      <w:outlineLvl w:val="4"/>
    </w:pPr>
    <w:rPr>
      <w:color w:val="666666"/>
    </w:rPr>
  </w:style>
  <w:style w:type="paragraph" w:styleId="Ttulo6">
    <w:name w:val="Heading 6"/>
    <w:basedOn w:val="Normal"/>
    <w:qFormat/>
    <w:rsid w:val="003c73dd"/>
    <w:pPr>
      <w:keepNext w:val="true"/>
      <w:keepLines/>
      <w:widowControl w:val="false"/>
      <w:spacing w:before="240" w:after="80"/>
      <w:outlineLvl w:val="5"/>
    </w:pPr>
    <w:rPr>
      <w:i/>
      <w:color w:val="666666"/>
    </w:rPr>
  </w:style>
  <w:style w:type="character" w:styleId="DefaultParagraphFont" w:default="1">
    <w:name w:val="Default Paragraph Font"/>
    <w:uiPriority w:val="1"/>
    <w:semiHidden/>
    <w:unhideWhenUsed/>
    <w:qFormat/>
    <w:rPr/>
  </w:style>
  <w:style w:type="character" w:styleId="TextodebaloChar" w:customStyle="1">
    <w:name w:val="Texto de balão Char"/>
    <w:basedOn w:val="DefaultParagraphFont"/>
    <w:link w:val="Textodebalo"/>
    <w:uiPriority w:val="99"/>
    <w:semiHidden/>
    <w:qFormat/>
    <w:rsid w:val="00d6745e"/>
    <w:rPr>
      <w:rFonts w:ascii="Tahoma" w:hAnsi="Tahoma" w:cs="Tahoma"/>
      <w:sz w:val="16"/>
      <w:szCs w:val="16"/>
    </w:rPr>
  </w:style>
  <w:style w:type="paragraph" w:styleId="Ttulo">
    <w:name w:val="Título"/>
    <w:basedOn w:val="Normal"/>
    <w:next w:val="Corpodetexto"/>
    <w:qFormat/>
    <w:pPr>
      <w:keepNext w:val="true"/>
      <w:spacing w:before="240" w:after="120"/>
    </w:pPr>
    <w:rPr>
      <w:rFonts w:ascii="Liberation Sans" w:hAnsi="Liberation Sans" w:eastAsia="Microsoft YaHei" w:cs="Arial"/>
      <w:sz w:val="28"/>
      <w:szCs w:val="28"/>
    </w:rPr>
  </w:style>
  <w:style w:type="paragraph" w:styleId="Corpodetexto">
    <w:name w:val="Body Text"/>
    <w:basedOn w:val="Normal"/>
    <w:pPr>
      <w:spacing w:before="0" w:after="140"/>
    </w:pPr>
    <w:rPr/>
  </w:style>
  <w:style w:type="paragraph" w:styleId="Lista">
    <w:name w:val="List"/>
    <w:basedOn w:val="Corpodetexto"/>
    <w:pPr/>
    <w:rPr/>
  </w:style>
  <w:style w:type="paragraph" w:styleId="Legenda">
    <w:name w:val="Caption"/>
    <w:basedOn w:val="Normal"/>
    <w:qFormat/>
    <w:pPr>
      <w:suppressLineNumbers/>
      <w:spacing w:before="120" w:after="120"/>
    </w:pPr>
    <w:rPr>
      <w:rFonts w:cs="Arial"/>
      <w:i/>
      <w:iCs/>
      <w:sz w:val="24"/>
      <w:szCs w:val="24"/>
    </w:rPr>
  </w:style>
  <w:style w:type="paragraph" w:styleId="Ndice" w:customStyle="1">
    <w:name w:val="Índice"/>
    <w:basedOn w:val="Normal"/>
    <w:qFormat/>
    <w:pPr>
      <w:suppressLineNumbers/>
    </w:pPr>
    <w:rPr/>
  </w:style>
  <w:style w:type="paragraph" w:styleId="Ttulododocumento">
    <w:name w:val="Title"/>
    <w:qFormat/>
    <w:rsid w:val="003c73dd"/>
    <w:pPr>
      <w:keepNext w:val="true"/>
      <w:keepLines/>
      <w:widowControl w:val="false"/>
      <w:spacing w:before="0" w:after="60"/>
    </w:pPr>
    <w:rPr>
      <w:rFonts w:ascii="Arial" w:hAnsi="Arial" w:eastAsia="Arial" w:cs="Arial"/>
      <w:color w:val="auto"/>
      <w:kern w:val="0"/>
      <w:sz w:val="52"/>
      <w:szCs w:val="52"/>
      <w:lang w:val="pt-BR" w:eastAsia="pt-BR" w:bidi="ar-SA"/>
    </w:rPr>
  </w:style>
  <w:style w:type="paragraph" w:styleId="Caption">
    <w:name w:val="caption"/>
    <w:basedOn w:val="Normal"/>
    <w:qFormat/>
    <w:pPr>
      <w:suppressLineNumbers/>
      <w:spacing w:before="120" w:after="120"/>
    </w:pPr>
    <w:rPr>
      <w:i/>
      <w:iCs/>
      <w:sz w:val="24"/>
      <w:szCs w:val="24"/>
    </w:rPr>
  </w:style>
  <w:style w:type="paragraph" w:styleId="LOnormal" w:customStyle="1">
    <w:name w:val="LO-normal"/>
    <w:qFormat/>
    <w:rsid w:val="003c73dd"/>
    <w:pPr>
      <w:widowControl/>
      <w:bidi w:val="0"/>
      <w:jc w:val="left"/>
    </w:pPr>
    <w:rPr>
      <w:rFonts w:ascii="Arial" w:hAnsi="Arial" w:eastAsia="Arial" w:cs="Arial"/>
      <w:color w:val="auto"/>
      <w:kern w:val="0"/>
      <w:sz w:val="22"/>
      <w:szCs w:val="22"/>
      <w:lang w:val="pt-BR" w:eastAsia="pt-BR" w:bidi="ar-SA"/>
    </w:rPr>
  </w:style>
  <w:style w:type="paragraph" w:styleId="Subttulo">
    <w:name w:val="Subtitle"/>
    <w:basedOn w:val="LOnormal"/>
    <w:qFormat/>
    <w:rsid w:val="003c73dd"/>
    <w:pPr>
      <w:keepNext w:val="true"/>
      <w:keepLines/>
      <w:spacing w:before="0" w:after="320"/>
    </w:pPr>
    <w:rPr>
      <w:color w:val="666666"/>
      <w:sz w:val="30"/>
      <w:szCs w:val="30"/>
    </w:rPr>
  </w:style>
  <w:style w:type="paragraph" w:styleId="BalloonText">
    <w:name w:val="Balloon Text"/>
    <w:basedOn w:val="Normal"/>
    <w:link w:val="TextodebaloChar"/>
    <w:uiPriority w:val="99"/>
    <w:semiHidden/>
    <w:unhideWhenUsed/>
    <w:qFormat/>
    <w:rsid w:val="00d6745e"/>
    <w:pPr>
      <w:spacing w:lineRule="auto" w:line="240"/>
    </w:pPr>
    <w:rPr>
      <w:rFonts w:ascii="Tahoma" w:hAnsi="Tahoma" w:cs="Tahoma"/>
      <w:sz w:val="16"/>
      <w:szCs w:val="16"/>
    </w:rPr>
  </w:style>
  <w:style w:type="paragraph" w:styleId="Cabealho">
    <w:name w:val="Header"/>
    <w:basedOn w:val="Normal"/>
    <w:pPr/>
    <w:rPr/>
  </w:style>
  <w:style w:type="numbering" w:styleId="NoList" w:default="1">
    <w:name w:val="No List"/>
    <w:uiPriority w:val="99"/>
    <w:semiHidden/>
    <w:unhideWhenUsed/>
    <w:qFormat/>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table" w:customStyle="1" w:styleId="TableNormal">
    <w:name w:val="Table Normal"/>
    <w:rsid w:val="003c73dd"/>
    <w:tblPr>
      <w:tblCellMar>
        <w:top w:w="0" w:type="dxa"/>
        <w:left w:w="0" w:type="dxa"/>
        <w:bottom w:w="0" w:type="dxa"/>
        <w:right w:w="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_rels/header1.xml.rels><?xml version="1.0" encoding="UTF-8"?>
<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2586</TotalTime>
  <Application>LibreOffice/6.0.7.3$Windows_X86_64 LibreOffice_project/dc89aa7a9eabfd848af146d5086077aeed2ae4a5</Application>
  <Pages>3</Pages>
  <Words>1030</Words>
  <Characters>6421</Characters>
  <CharactersWithSpaces>7454</CharactersWithSpaces>
  <Paragraphs>13</Paragraphs>
  <Company>Hewlett-Packard Company</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2019-06-17T02:37:00Z</dcterms:created>
  <dc:creator>Lorena Freire Galvao Rodrigues da Costa</dc:creator>
  <dc:description/>
  <dc:language>pt-BR</dc:language>
  <cp:lastModifiedBy>lorena costa</cp:lastModifiedBy>
  <dcterms:modified xsi:type="dcterms:W3CDTF">2019-06-18T21:42:00Z</dcterms:modified>
  <cp:revision>5</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Hewlett-Packard Company</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