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454666" w:rsidRDefault="00EF621C" w:rsidP="00C22D82">
      <w:pPr>
        <w:jc w:val="both"/>
        <w:rPr>
          <w:sz w:val="24"/>
          <w:szCs w:val="24"/>
        </w:rPr>
      </w:pPr>
      <w:r w:rsidRPr="00C22D82">
        <w:rPr>
          <w:sz w:val="24"/>
          <w:szCs w:val="24"/>
        </w:rPr>
        <w:t xml:space="preserve">RECOMENDAÇÃO Nº 005/2020 Referência: Auto nº 2020/90236 </w:t>
      </w:r>
    </w:p>
    <w:p w:rsidR="00454666" w:rsidRDefault="00454666" w:rsidP="00C22D82">
      <w:pPr>
        <w:jc w:val="both"/>
        <w:rPr>
          <w:sz w:val="24"/>
          <w:szCs w:val="24"/>
        </w:rPr>
      </w:pPr>
    </w:p>
    <w:p w:rsidR="00454666" w:rsidRDefault="00EF621C" w:rsidP="00C22D82">
      <w:pPr>
        <w:jc w:val="both"/>
        <w:rPr>
          <w:sz w:val="24"/>
          <w:szCs w:val="24"/>
        </w:rPr>
      </w:pPr>
      <w:r w:rsidRPr="00C22D82">
        <w:rPr>
          <w:sz w:val="24"/>
          <w:szCs w:val="24"/>
        </w:rPr>
        <w:t xml:space="preserve">O MINISTÉRIO PÚBLICO DO ESTADO DE PERNAMBUCO, por meio do órgão de execução ao final assinado, no exercício de suas atribuições constitucionais, com fundamento nos </w:t>
      </w:r>
      <w:proofErr w:type="spellStart"/>
      <w:r w:rsidRPr="00C22D82">
        <w:rPr>
          <w:sz w:val="24"/>
          <w:szCs w:val="24"/>
        </w:rPr>
        <w:t>arts</w:t>
      </w:r>
      <w:proofErr w:type="spellEnd"/>
      <w:r w:rsidRPr="00C22D82">
        <w:rPr>
          <w:sz w:val="24"/>
          <w:szCs w:val="24"/>
        </w:rPr>
        <w:t xml:space="preserve">. 127, caput e 129, II, ambos da Constituição Federal; art. 67, caput, e seu § 2º, V, da Constituição do Estado de Pernambuco; art. 27, II e seu parágrafo único, I e IV, da nº 8.625/1993; Resolução CSMP 03/2019, e, ainda: </w:t>
      </w:r>
    </w:p>
    <w:p w:rsidR="00454666" w:rsidRDefault="00454666" w:rsidP="00C22D82">
      <w:pPr>
        <w:jc w:val="both"/>
        <w:rPr>
          <w:sz w:val="24"/>
          <w:szCs w:val="24"/>
        </w:rPr>
      </w:pPr>
    </w:p>
    <w:p w:rsidR="00454666" w:rsidRDefault="00EF621C" w:rsidP="00C22D82">
      <w:pPr>
        <w:jc w:val="both"/>
        <w:rPr>
          <w:sz w:val="24"/>
          <w:szCs w:val="24"/>
        </w:rPr>
      </w:pPr>
      <w:r w:rsidRPr="00C22D82">
        <w:rPr>
          <w:sz w:val="24"/>
          <w:szCs w:val="24"/>
        </w:rPr>
        <w:t xml:space="preserve">CONSIDERANDO que incumbe ao Ministério Público a defesa dos interesses difusos, coletivos, sociais e individuais indisponíveis, nos termos do artigo 127 da Constituição Federal, entre os quais o direito à saúde, previsto no artigo 196 do mesmo diploma, sendo certo que a vida é o bem maior a ser protegido pela ordem jurídica, devendo ser prioridade para todo gestor público, sobretudo em época de pandemia; </w:t>
      </w:r>
    </w:p>
    <w:p w:rsidR="00454666" w:rsidRDefault="00EF621C" w:rsidP="00C22D82">
      <w:pPr>
        <w:jc w:val="both"/>
        <w:rPr>
          <w:sz w:val="24"/>
          <w:szCs w:val="24"/>
        </w:rPr>
      </w:pPr>
      <w:r w:rsidRPr="00C22D82">
        <w:rPr>
          <w:sz w:val="24"/>
          <w:szCs w:val="24"/>
        </w:rPr>
        <w:t xml:space="preserve">CONSIDERANDO que, em 11.03.2020, a Organização Mundial da Saúde (OMS) declarou pandemia para o </w:t>
      </w:r>
      <w:proofErr w:type="spellStart"/>
      <w:r w:rsidRPr="00C22D82">
        <w:rPr>
          <w:sz w:val="24"/>
          <w:szCs w:val="24"/>
        </w:rPr>
        <w:t>Coronavírus</w:t>
      </w:r>
      <w:proofErr w:type="spellEnd"/>
      <w:r w:rsidRPr="00C22D82">
        <w:rPr>
          <w:sz w:val="24"/>
          <w:szCs w:val="24"/>
        </w:rPr>
        <w:t xml:space="preserve">, ou seja, momento em que uma doença se espalha por diversos continentes com transmissão sustentada entre humanos, bem como a situação de calamidade pública imposta ao Estado de Pernambuco com a chegada da pandemia da COVID-19, com edição de vários atos normativos, em especial o Decreto nº 48.809, de 14 de março de 2020, que regulamenta, no Estado de Pernambuco, medidas temporárias para enfrentamento da emergência de saúde pública de importância internacional decorrente do </w:t>
      </w:r>
      <w:proofErr w:type="spellStart"/>
      <w:r w:rsidRPr="00C22D82">
        <w:rPr>
          <w:sz w:val="24"/>
          <w:szCs w:val="24"/>
        </w:rPr>
        <w:t>coronavírus</w:t>
      </w:r>
      <w:proofErr w:type="spellEnd"/>
      <w:r w:rsidRPr="00C22D82">
        <w:rPr>
          <w:sz w:val="24"/>
          <w:szCs w:val="24"/>
        </w:rPr>
        <w:t xml:space="preserve">, conforme previsto na Lei Federal nº 13.979, de 6 de fevereiro de 2020; </w:t>
      </w:r>
    </w:p>
    <w:p w:rsidR="00454666" w:rsidRDefault="00EF621C" w:rsidP="00C22D82">
      <w:pPr>
        <w:jc w:val="both"/>
        <w:rPr>
          <w:sz w:val="24"/>
          <w:szCs w:val="24"/>
        </w:rPr>
      </w:pPr>
      <w:r w:rsidRPr="00C22D82">
        <w:rPr>
          <w:sz w:val="24"/>
          <w:szCs w:val="24"/>
        </w:rPr>
        <w:t xml:space="preserve">CONSIDERANDO que no âmbito do Ministério Público de Pernambuco, a Portaria POR PGJ nº 558/2020, de 12 de março de 2020, institui o Gabinete de Acompanhamento da Pandemia do novo </w:t>
      </w:r>
      <w:proofErr w:type="spellStart"/>
      <w:r w:rsidRPr="00C22D82">
        <w:rPr>
          <w:sz w:val="24"/>
          <w:szCs w:val="24"/>
        </w:rPr>
        <w:t>coronavírus</w:t>
      </w:r>
      <w:proofErr w:type="spellEnd"/>
      <w:r w:rsidRPr="00C22D82">
        <w:rPr>
          <w:sz w:val="24"/>
          <w:szCs w:val="24"/>
        </w:rPr>
        <w:t xml:space="preserve"> (SARS-CoV-2), órgão excepcional e vinculado à Procuradoria-Geral de Justiça, do qual fazem parte todos os centros de apoio operacional às promotorias de Justiça, bem como a assessoria técnica em matéria constitucional, com vista a assegurar a atuação dos membros do Ministério Público de Pernambuco através de ação coordenada, através da aproximação com as autoridades sanitárias locais, permitindo a identificação de eventuais vulnerabilidades dos sistemas estaduais e municipais, para respostas eficientes no combate aos riscos da pandemia e a contenção da sua propagação, para a adoção de eventuais medidas que se fizerem necessárias pela Procuradoria Geral de Justiça;</w:t>
      </w:r>
      <w:r w:rsidRPr="00C22D82">
        <w:rPr>
          <w:sz w:val="24"/>
          <w:szCs w:val="24"/>
        </w:rPr>
        <w:t xml:space="preserve"> </w:t>
      </w:r>
    </w:p>
    <w:p w:rsidR="00454666" w:rsidRDefault="000C3D7B" w:rsidP="00C22D82">
      <w:pPr>
        <w:jc w:val="both"/>
        <w:rPr>
          <w:sz w:val="24"/>
          <w:szCs w:val="24"/>
        </w:rPr>
      </w:pPr>
      <w:r w:rsidRPr="00C22D82">
        <w:rPr>
          <w:sz w:val="24"/>
          <w:szCs w:val="24"/>
        </w:rPr>
        <w:t xml:space="preserve">CONSIDERANDO que durante este período a Procuradoria Geral de Justiça foram expedidas várias recomendações, seja para membros do Ministério Público de Pernambuco, seja para as autoridades envolvidas, em especial o Governo do Estado de Pernambuco e as Prefeituras Municipais, bem como à população em geral, entre as quais: a) Recomendação PGJ n.º 09/2020 - Recomenda que membros do MPPE adotem as medidas necessárias para o cumprimento das normas editadas pelo Governo do Estado; b) Recomendação PGJ n.º 11/2020 - Acerca de novo número de pessoas aglomeradas e versa sobre a proibição do serviço de </w:t>
      </w:r>
      <w:proofErr w:type="spellStart"/>
      <w:r w:rsidRPr="00C22D82">
        <w:rPr>
          <w:sz w:val="24"/>
          <w:szCs w:val="24"/>
        </w:rPr>
        <w:t>mototáxi</w:t>
      </w:r>
      <w:proofErr w:type="spellEnd"/>
      <w:r w:rsidRPr="00C22D82">
        <w:rPr>
          <w:sz w:val="24"/>
          <w:szCs w:val="24"/>
        </w:rPr>
        <w:t xml:space="preserve">; c) Recomendação PGJ n.º 13/2020 - Adoção de medidas de higienização de supermercados e outros </w:t>
      </w:r>
      <w:r w:rsidRPr="00C22D82">
        <w:rPr>
          <w:sz w:val="24"/>
          <w:szCs w:val="24"/>
        </w:rPr>
        <w:lastRenderedPageBreak/>
        <w:t xml:space="preserve">estabelecimentos de produtos alimentícios, bem como prevenção do aumento arbitrário de preços; d) Recomendação PGJ n.º 16/2020 - Dispõe sobre a impossibilidade dos prefeitos municipais determinarem a reabertura do comércio local e outros atos administrativos que contrariem a Lei Federal no 13.979/2020 e, por consequência, os Decretos Federal no 10.282/2020 e Estadual no 48.809/2020 e suas alterações; e) Recomendação PGJ n.º 18/2020 - Dispõe sobre estruturação da rede municipal de saúde e adoção de providências urgentes para leitos de retaguarda (Covid-19); f) Recomendação PGJ n.º 19/2020 - Dispõe sobre orientações aos membros acerca das feiras livres; g) Recomendação PGJ n.º 21/2020 - Acerca da adoção de medidas para reduzir os riscos da Covid-19 nas agências bancárias; h) Recomendação PGJ n.º 22/2020 - Referente à atenção integral às gestantes e puérperas; i) Recomendação PGJ n.º 24/2020 - Uso de máscaras e o estímulo à produção desses insumos pelas empresas integrantes do Polo de Confecção e microempresas locais; j) Recomendação PGJ n.º 25/2020 - Estruturação emergencial do exercício das competências municipais relacionadas a sepultamentos em face da Covid-19; </w:t>
      </w:r>
    </w:p>
    <w:p w:rsidR="00454666" w:rsidRDefault="000C3D7B" w:rsidP="00C22D82">
      <w:pPr>
        <w:jc w:val="both"/>
        <w:rPr>
          <w:sz w:val="24"/>
          <w:szCs w:val="24"/>
        </w:rPr>
      </w:pPr>
      <w:r w:rsidRPr="00C22D82">
        <w:rPr>
          <w:sz w:val="24"/>
          <w:szCs w:val="24"/>
        </w:rPr>
        <w:t xml:space="preserve">CONSIDERANDO a indicação de que nos últimos 21 dias o isolamento social passou de 74% para 49,7%, ou seja, houve um relaxamento nos índices de isolamento social, fator que impulsionou um crescimento da propagação do vírus e óbitos, pelo que se mostra necessário garantir que as medidas até agora adotadas sejam efetivamente cumpridas; </w:t>
      </w:r>
    </w:p>
    <w:p w:rsidR="00454666" w:rsidRDefault="000C3D7B" w:rsidP="00C22D82">
      <w:pPr>
        <w:jc w:val="both"/>
        <w:rPr>
          <w:sz w:val="24"/>
          <w:szCs w:val="24"/>
        </w:rPr>
      </w:pPr>
      <w:r w:rsidRPr="00C22D82">
        <w:rPr>
          <w:sz w:val="24"/>
          <w:szCs w:val="24"/>
        </w:rPr>
        <w:t xml:space="preserve">CONSIDERANDO a publicação, no dia de ontem, do Decreto nº 49.017, de 11 de maio de 2020 que, além de manter vigentes os Decretos já publicados que tratam de medidas restritivas, determina em todo o Estado de Pernambuco, a utilização de máscara, ainda que artesanal, pelas pessoas que tenham de sair de casa e circular em vias públicas para exercer atividades ou adquirir produtos ou serviços essenciais, bem como nos municípios de Recife, Olinda, Camaragibe, São Lourenço da Mata e Jaboatão dos Guararapes, no período de 16 a 31 de maio de 2020, a restrição de entrada, saída e circulação de veículos e pessoas, e ainda a fixação de regras de funcionamento para as atividades e serviços essenciais, sem prejuízo dos entes municipais estabelecerem regras mais restritivas. </w:t>
      </w:r>
    </w:p>
    <w:p w:rsidR="00454666" w:rsidRDefault="000C3D7B" w:rsidP="00C22D82">
      <w:pPr>
        <w:jc w:val="both"/>
        <w:rPr>
          <w:sz w:val="24"/>
          <w:szCs w:val="24"/>
        </w:rPr>
      </w:pPr>
      <w:r w:rsidRPr="00C22D82">
        <w:rPr>
          <w:sz w:val="24"/>
          <w:szCs w:val="24"/>
        </w:rPr>
        <w:t xml:space="preserve">CONSIDERANDO que ao descumprir as normas sanitárias acima descritas, sujeita-se o infrator às cominações dos seguintes crimes do Código Penal: Art. 131 - Praticar, com o fim de transmitir a outrem moléstia grave de que está contaminado, ato capaz de produzir o contágio: Pena - reclusão, de um a quatro anos, e multa. Art. 268 - Infringir determinação do poder público, destinada a impedir introdução ou propagação de doença contagiosa: Pena - detenção, de um mês a um ano, e multa. </w:t>
      </w:r>
    </w:p>
    <w:p w:rsidR="00454666" w:rsidRDefault="00454666" w:rsidP="00C22D82">
      <w:pPr>
        <w:jc w:val="both"/>
        <w:rPr>
          <w:sz w:val="24"/>
          <w:szCs w:val="24"/>
        </w:rPr>
      </w:pPr>
    </w:p>
    <w:p w:rsidR="00454666" w:rsidRDefault="000C3D7B" w:rsidP="00C22D82">
      <w:pPr>
        <w:jc w:val="both"/>
        <w:rPr>
          <w:sz w:val="24"/>
          <w:szCs w:val="24"/>
        </w:rPr>
      </w:pPr>
      <w:r w:rsidRPr="00C22D82">
        <w:rPr>
          <w:sz w:val="24"/>
          <w:szCs w:val="24"/>
        </w:rPr>
        <w:t xml:space="preserve">RESOLVE: </w:t>
      </w:r>
    </w:p>
    <w:p w:rsidR="00454666" w:rsidRDefault="00454666" w:rsidP="00C22D82">
      <w:pPr>
        <w:jc w:val="both"/>
        <w:rPr>
          <w:sz w:val="24"/>
          <w:szCs w:val="24"/>
        </w:rPr>
      </w:pPr>
    </w:p>
    <w:p w:rsidR="00454666" w:rsidRDefault="000C3D7B" w:rsidP="00C22D82">
      <w:pPr>
        <w:jc w:val="both"/>
        <w:rPr>
          <w:sz w:val="24"/>
          <w:szCs w:val="24"/>
        </w:rPr>
      </w:pPr>
      <w:r w:rsidRPr="00C22D82">
        <w:rPr>
          <w:sz w:val="24"/>
          <w:szCs w:val="24"/>
        </w:rPr>
        <w:t>I – RECOMENDAR ao Exmo. Sr. Prefeito, ao Município de Jaqueira, ao Exmo. Sr. Presidente da Câmara de Vereadores e Câmara de Vereadores de Jaqueira: a) que adotem as providências necessárias para, no âmbito de suas atribuições, fazerem cumprir os artigos 2º e 6º do Decreto</w:t>
      </w:r>
      <w:r w:rsidRPr="00C22D82">
        <w:rPr>
          <w:sz w:val="24"/>
          <w:szCs w:val="24"/>
        </w:rPr>
        <w:t xml:space="preserve"> </w:t>
      </w:r>
      <w:r w:rsidR="00C22D82" w:rsidRPr="00C22D82">
        <w:rPr>
          <w:sz w:val="24"/>
          <w:szCs w:val="24"/>
        </w:rPr>
        <w:t xml:space="preserve">nº 49.017, de 11 de maio de 2020, SEM PREJUÍZO DOS ENTES MUNICIPAIS </w:t>
      </w:r>
      <w:r w:rsidR="00C22D82" w:rsidRPr="00C22D82">
        <w:rPr>
          <w:sz w:val="24"/>
          <w:szCs w:val="24"/>
        </w:rPr>
        <w:lastRenderedPageBreak/>
        <w:t xml:space="preserve">ESTABELECEREM REGRAS MAIS RESTRITIVAS, notadamente o uso obrigatório de máscara, mesmo que artesanal, pelas pessoas que tenham de sair de casa e circular em vias públicas para exercer atividades ou adquirir produtos ou serviços essenciais em todo território do Estado de Pernambuco, bem como, nos estabelecimentos públicos e privados que exercem as atividades e serviços considerados essenciais de funcionamento permitido, o cumprimento das regras de redução de circulação de pessoas, de uso de máscaras, de higiene e de distanciamento mínimo de 1 (um) metro entre as pessoas, inclusive em filas de atendimento, além das exigências estabelecidas em normas complementares da Secretaria de Saúde; b) que INTENSIFIQUEM as providências necessárias para fazerem cumprir as normas sanitárias federal e estadual, notadamente as medidas de isolamento social já impostas pelo Estado de Pernambuco, em especial: 1) as referidas pelos Decretos Estaduais </w:t>
      </w:r>
      <w:proofErr w:type="spellStart"/>
      <w:r w:rsidR="00C22D82" w:rsidRPr="00C22D82">
        <w:rPr>
          <w:sz w:val="24"/>
          <w:szCs w:val="24"/>
        </w:rPr>
        <w:t>nºs</w:t>
      </w:r>
      <w:proofErr w:type="spellEnd"/>
      <w:r w:rsidR="00C22D82" w:rsidRPr="00C22D82">
        <w:rPr>
          <w:sz w:val="24"/>
          <w:szCs w:val="24"/>
        </w:rPr>
        <w:t xml:space="preserve"> 48.809, 48.834, 48837 e 48955, que tratam das medidas temporárias no âmbito do comércio, da prestação de serviços, da construção civil e da concessão e prestação de serviços públicos, visando o exercício apenas das atividades essenciais que relaciona; da vedação ao transporte intermunicipal de passageiros, com as exceções que relaciona e dos serviços de moto taxi; da vedação de acesso a parques, praças e campos de futebol e da vedação de aglomeração de mais de dez pessoas, salvo para atividades essenciais (Recomendação PGJ n.º 09/2020); </w:t>
      </w:r>
    </w:p>
    <w:p w:rsidR="00454666" w:rsidRDefault="00C22D82" w:rsidP="00C22D82">
      <w:pPr>
        <w:jc w:val="both"/>
        <w:rPr>
          <w:sz w:val="24"/>
          <w:szCs w:val="24"/>
        </w:rPr>
      </w:pPr>
      <w:r w:rsidRPr="00C22D82">
        <w:rPr>
          <w:sz w:val="24"/>
          <w:szCs w:val="24"/>
        </w:rPr>
        <w:t xml:space="preserve">2) o cumprimento pelas agências bancárias do Estado do recebimento de prévia higienização dos ambientes de circulação, observando rigorosamente todas as normas sanitárias, e disponibilização de número de colaboradores suficientes a reduzir o tempo de permanência nas filas do interior, autoatendimento e parte externa das agências, observando sempre a distância regulamentar de um metro entre os clientes (Recomendação PGJ nº 21/2020); </w:t>
      </w:r>
    </w:p>
    <w:p w:rsidR="00454666" w:rsidRDefault="00C22D82" w:rsidP="00C22D82">
      <w:pPr>
        <w:jc w:val="both"/>
        <w:rPr>
          <w:sz w:val="24"/>
          <w:szCs w:val="24"/>
        </w:rPr>
      </w:pPr>
      <w:r w:rsidRPr="00C22D82">
        <w:rPr>
          <w:sz w:val="24"/>
          <w:szCs w:val="24"/>
        </w:rPr>
        <w:t xml:space="preserve">3) o cumprimento pela Prefeitura Municipal das necessárias providências para disciplinar as feiras livres municipais, de forma a assegurar as medidas higiênicas necessárias à prevenção, tais como, a disponibilização, em cada banca da feira, álcool gel 70%, manutenção da distância mínima de segurança de um metro e meio entre as pessoas, utilização de equipamentos de proteção individual pelos feirantes, higienização das bancas e dos utensílios necessários ao exercício das atividades (Recomendação PGJ nº 19/2020); </w:t>
      </w:r>
    </w:p>
    <w:p w:rsidR="00454666" w:rsidRDefault="00C22D82" w:rsidP="00C22D82">
      <w:pPr>
        <w:jc w:val="both"/>
        <w:rPr>
          <w:sz w:val="24"/>
          <w:szCs w:val="24"/>
        </w:rPr>
      </w:pPr>
      <w:r w:rsidRPr="00C22D82">
        <w:rPr>
          <w:sz w:val="24"/>
          <w:szCs w:val="24"/>
        </w:rPr>
        <w:t xml:space="preserve">4) a garantia de que os servidores públicos, empregados e colaboradores dos estabelecimentos privados que estejam autorizados a funcionar durante o período de quarentena, tenham acesso às máscaras e o estímulo à sociedade civil organizada para o uso de máscara, mesmo que artesanal, notadamente pelas pessoas que tenham de sair de casa e circular pelas vias públicas para exercer atividades ou adquirir produtos ou serviços essenciais, inclusive quando se utilizarem do transporte público (Recomendação PGJ nº 24/2020); </w:t>
      </w:r>
    </w:p>
    <w:p w:rsidR="00454666" w:rsidRDefault="00C22D82" w:rsidP="00C22D82">
      <w:pPr>
        <w:jc w:val="both"/>
        <w:rPr>
          <w:sz w:val="24"/>
          <w:szCs w:val="24"/>
        </w:rPr>
      </w:pPr>
      <w:r w:rsidRPr="00C22D82">
        <w:rPr>
          <w:sz w:val="24"/>
          <w:szCs w:val="24"/>
        </w:rPr>
        <w:t xml:space="preserve">5) a fiscalização pelas Prefeituras Municipais do fechamento do comércio local não essencial, inclusive do comércio informal, podendo para tanto adotar as providências que lhe são próprias, inclusive a cassação do alvará de funcionamento, sem prejuízo da aplicação de multas e demais sanções administrativas (Recomendação PGJ nº 16/2020); </w:t>
      </w:r>
    </w:p>
    <w:p w:rsidR="00454666" w:rsidRDefault="00C22D82" w:rsidP="00C22D82">
      <w:pPr>
        <w:jc w:val="both"/>
        <w:rPr>
          <w:sz w:val="24"/>
          <w:szCs w:val="24"/>
        </w:rPr>
      </w:pPr>
      <w:bookmarkStart w:id="0" w:name="_GoBack"/>
      <w:bookmarkEnd w:id="0"/>
      <w:r w:rsidRPr="00C22D82">
        <w:rPr>
          <w:sz w:val="24"/>
          <w:szCs w:val="24"/>
        </w:rPr>
        <w:lastRenderedPageBreak/>
        <w:t xml:space="preserve">6) a fiscalização, inclusive pelas Prefeituras Municipais, quanto ao cumprimento pelos supermercados e outros estabelecimentos de produtos alimentícios com venda presencial, do rigoroso cumprimento das normas sanitárias de controle de qualidade e segurança dos alimentos, bem como de medidas adicionais durante a situação de calamidade pública, relacionadas na Recomendação nº 13/2020; </w:t>
      </w:r>
    </w:p>
    <w:p w:rsidR="006E57C1" w:rsidRPr="00C22D82" w:rsidRDefault="00C22D82" w:rsidP="00C22D82">
      <w:pPr>
        <w:jc w:val="both"/>
        <w:rPr>
          <w:sz w:val="24"/>
          <w:szCs w:val="24"/>
        </w:rPr>
      </w:pPr>
      <w:r w:rsidRPr="00C22D82">
        <w:rPr>
          <w:sz w:val="24"/>
          <w:szCs w:val="24"/>
        </w:rPr>
        <w:t xml:space="preserve">7) a fiscalização pela Prefeitura com apoio da Polícia Militar quanto a aglomeração de pessoas, salvo nos casos de atividades essenciais, bem como a proibição de serviço de </w:t>
      </w:r>
      <w:proofErr w:type="spellStart"/>
      <w:r w:rsidRPr="00C22D82">
        <w:rPr>
          <w:sz w:val="24"/>
          <w:szCs w:val="24"/>
        </w:rPr>
        <w:t>mototáxi</w:t>
      </w:r>
      <w:proofErr w:type="spellEnd"/>
      <w:r w:rsidRPr="00C22D82">
        <w:rPr>
          <w:sz w:val="24"/>
          <w:szCs w:val="24"/>
        </w:rPr>
        <w:t xml:space="preserve"> (Recomendação PGJ n.º 11/2020); c) que observem a execução e com eficiência: 1) o Plano de Contingência Municipal, no que se refere ao acolhimento em unidades de saúde de baixa, média e alta complexidade, de âmbito local ou regional, correspondentes ao porte populacional do seu município, tais como leitos de retaguarda, enfermarias, abrigos temporários, espaços de proteção social, hospitais de campanha, leitos de assistência crítica, ampliando a capacidade de atendimento hospitalar e garantindo a suspensão criteriosa das internações e procedimentos eletivos na sua rede de serviços próprios ou contratados pelo SUS, dentre outras providências (Recomendação PGJ nº 18/2020); 2) a atenção integral à saúde das gestantes e puérperas, voltadas para o cenário epidemiológico local, bem como a redução dos riscos de transmissão do </w:t>
      </w:r>
      <w:proofErr w:type="spellStart"/>
      <w:r w:rsidRPr="00C22D82">
        <w:rPr>
          <w:sz w:val="24"/>
          <w:szCs w:val="24"/>
        </w:rPr>
        <w:t>coronavírus</w:t>
      </w:r>
      <w:proofErr w:type="spellEnd"/>
      <w:r w:rsidRPr="00C22D82">
        <w:rPr>
          <w:sz w:val="24"/>
          <w:szCs w:val="24"/>
        </w:rPr>
        <w:t xml:space="preserve"> (COVID-19) às mulheres gestantes e puérperas nas unidades de saúde, conforme recomendações do Ministério da Saúde e da SES/PE (Recomendação PGJ nº 22/2020); 3) o planejamento específico pela Prefeitura Municipal para o período de pandemia que contemple as necessidades de transporte, manejo e sepultamento de corpos e as demandas acrescidas de assistência social, conforme as orientações específicas dos governos federal e estadual relacionadas à atestação de óbito, ao traslado de corpos e aos sepultamentos, assegurando rapidez e segurança em todo o processo (Recomendação PGJ nº 25/2020); d) que promovam a articulação dos órgãos do Governo do Estado sediados no município, da Prefeitura Municipal, Câmara Municipal entidades de classe, sociedade civil organizada, além de outros que entender pertinentes, a fim de viabilizar o cumprimento das regras de isolamento social previstas e auxiliar os órgãos de fiscalização para seu cumprimento, valorizando-se o contato à distância, utilizando-se de meios tecnológicos à disposição. Encaminhe-se cópia da presente recomendação: </w:t>
      </w:r>
      <w:proofErr w:type="gramStart"/>
      <w:r w:rsidRPr="00C22D82">
        <w:rPr>
          <w:sz w:val="24"/>
          <w:szCs w:val="24"/>
        </w:rPr>
        <w:t>1)ao</w:t>
      </w:r>
      <w:proofErr w:type="gramEnd"/>
      <w:r w:rsidRPr="00C22D82">
        <w:rPr>
          <w:sz w:val="24"/>
          <w:szCs w:val="24"/>
        </w:rPr>
        <w:t xml:space="preserve"> Sr. Prefeito de Jaqueira, a Presidente do Comitê de enfretamento a COVID-19 em Jaqueira/PE ao Presidente da Câmara Municipal de Vereadores, requisitando sua divulgação entre a população em geral. </w:t>
      </w:r>
      <w:proofErr w:type="gramStart"/>
      <w:r w:rsidRPr="00C22D82">
        <w:rPr>
          <w:sz w:val="24"/>
          <w:szCs w:val="24"/>
        </w:rPr>
        <w:t>2)Encaminhe</w:t>
      </w:r>
      <w:proofErr w:type="gramEnd"/>
      <w:r w:rsidRPr="00C22D82">
        <w:rPr>
          <w:sz w:val="24"/>
          <w:szCs w:val="24"/>
        </w:rPr>
        <w:t xml:space="preserve">-se, ainda, cópia da presente Recomendação ao Conselho Superior do Ministério Público e aos Centros de Apoio Operacional às Promotorias de Defesa do Consumidor e da Saúde para conhecimento, e à Secretaria Geral do Ministério Público do Estado de Pernambuco, para publicação no Diário Oficial do Estado; 3)Remeta-se cópia desta Recomendação ao Gabinete de Acompanhamento da Pandemia </w:t>
      </w:r>
      <w:proofErr w:type="spellStart"/>
      <w:r w:rsidRPr="00C22D82">
        <w:rPr>
          <w:sz w:val="24"/>
          <w:szCs w:val="24"/>
        </w:rPr>
        <w:t>Coronavírus</w:t>
      </w:r>
      <w:proofErr w:type="spellEnd"/>
      <w:r w:rsidRPr="00C22D82">
        <w:rPr>
          <w:sz w:val="24"/>
          <w:szCs w:val="24"/>
        </w:rPr>
        <w:t xml:space="preserve"> do MPPE, para conhecimento. Registre-se. Publique-se. Cumpra-se. Maraial, 15 de maio de 2020. Daniel José Mesquita Monteiro Dias Promotor de Justiça</w:t>
      </w:r>
    </w:p>
    <w:sectPr w:rsidR="006E57C1" w:rsidRPr="00C22D82">
      <w:headerReference w:type="default" r:id="rId7"/>
      <w:footerReference w:type="default" r:id="rId8"/>
      <w:pgSz w:w="11906" w:h="16838"/>
      <w:pgMar w:top="3653" w:right="850" w:bottom="2154" w:left="1701" w:header="1417" w:footer="14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1716" w:rsidRDefault="00B91716">
      <w:r>
        <w:separator/>
      </w:r>
    </w:p>
  </w:endnote>
  <w:endnote w:type="continuationSeparator" w:id="0">
    <w:p w:rsidR="00B91716" w:rsidRDefault="00B91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Umbrella">
    <w:altName w:val="Calibri"/>
    <w:charset w:val="00"/>
    <w:family w:val="swiss"/>
    <w:pitch w:val="variable"/>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3454" w:rsidRDefault="00503454">
    <w:pPr>
      <w:pStyle w:val="Corpodetexto"/>
      <w:jc w:val="both"/>
      <w:rPr>
        <w:rFonts w:ascii="Verdana" w:hAnsi="Verdana"/>
        <w:color w:val="000000"/>
        <w:sz w:val="16"/>
        <w:szCs w:val="16"/>
      </w:rPr>
    </w:pPr>
  </w:p>
  <w:p w:rsidR="00503454" w:rsidRDefault="00503454">
    <w:pPr>
      <w:pStyle w:val="Corpodetexto"/>
      <w:jc w:val="both"/>
      <w:rPr>
        <w:rFonts w:ascii="Verdana" w:hAnsi="Verdana"/>
        <w:color w:val="000000"/>
        <w:sz w:val="16"/>
        <w:szCs w:val="16"/>
      </w:rPr>
    </w:pPr>
  </w:p>
  <w:p w:rsidR="00503454" w:rsidRDefault="00503454">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1716" w:rsidRDefault="00B91716">
      <w:r>
        <w:separator/>
      </w:r>
    </w:p>
  </w:footnote>
  <w:footnote w:type="continuationSeparator" w:id="0">
    <w:p w:rsidR="00B91716" w:rsidRDefault="00B917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3454" w:rsidRDefault="00E85A33">
    <w:pPr>
      <w:pStyle w:val="Cabealho"/>
      <w:jc w:val="center"/>
    </w:pPr>
    <w:r>
      <w:rPr>
        <w:noProof/>
        <w:lang w:eastAsia="pt-BR"/>
      </w:rPr>
      <w:drawing>
        <wp:anchor distT="0" distB="0" distL="0" distR="0" simplePos="0" relativeHeight="251657728" behindDoc="0" locked="0" layoutInCell="1" allowOverlap="1">
          <wp:simplePos x="0" y="0"/>
          <wp:positionH relativeFrom="column">
            <wp:posOffset>1837055</wp:posOffset>
          </wp:positionH>
          <wp:positionV relativeFrom="paragraph">
            <wp:posOffset>-144145</wp:posOffset>
          </wp:positionV>
          <wp:extent cx="2092960" cy="949325"/>
          <wp:effectExtent l="0" t="0" r="0" b="0"/>
          <wp:wrapSquare wrapText="largest"/>
          <wp:docPr id="4"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l="-993" t="-1768" r="-993" b="-1768"/>
                  <a:stretch>
                    <a:fillRect/>
                  </a:stretch>
                </pic:blipFill>
                <pic:spPr bwMode="auto">
                  <a:xfrm>
                    <a:off x="0" y="0"/>
                    <a:ext cx="2092960" cy="94932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p w:rsidR="00503454" w:rsidRDefault="00503454">
    <w:pPr>
      <w:pStyle w:val="Cabealho"/>
      <w:jc w:val="center"/>
    </w:pPr>
  </w:p>
  <w:p w:rsidR="00503454" w:rsidRDefault="00503454">
    <w:pPr>
      <w:pStyle w:val="Cabealho"/>
      <w:jc w:val="center"/>
    </w:pPr>
  </w:p>
  <w:p w:rsidR="00503454" w:rsidRDefault="00503454">
    <w:pPr>
      <w:pStyle w:val="Cabealho"/>
      <w:jc w:val="center"/>
    </w:pPr>
  </w:p>
  <w:p w:rsidR="00503454" w:rsidRDefault="00503454">
    <w:pPr>
      <w:pStyle w:val="Cabealho"/>
      <w:jc w:val="center"/>
    </w:pPr>
  </w:p>
  <w:p w:rsidR="00503454" w:rsidRPr="00E85A33" w:rsidRDefault="00503454">
    <w:pPr>
      <w:pStyle w:val="Cabealho"/>
      <w:jc w:val="center"/>
      <w:rPr>
        <w:rFonts w:ascii="Tahoma" w:eastAsia="Tahoma" w:hAnsi="Tahoma" w:cs="Tahoma"/>
        <w:b/>
        <w:bCs/>
        <w:sz w:val="22"/>
        <w:szCs w:val="22"/>
        <w14:shadow w14:blurRad="50800" w14:dist="38100" w14:dir="2700000" w14:sx="100000" w14:sy="100000" w14:kx="0" w14:ky="0" w14:algn="tl">
          <w14:srgbClr w14:val="000000">
            <w14:alpha w14:val="60000"/>
          </w14:srgbClr>
        </w14:shadow>
      </w:rPr>
    </w:pPr>
  </w:p>
  <w:p w:rsidR="00D02CC3" w:rsidRPr="00A45187" w:rsidRDefault="002A096E" w:rsidP="00C07F80">
    <w:pPr>
      <w:jc w:val="center"/>
      <w:rPr>
        <w:rFonts w:ascii="Tahoma" w:eastAsia="Tahoma" w:hAnsi="Tahoma" w:cs="Tahoma"/>
        <w:b/>
        <w:sz w:val="24"/>
        <w:szCs w:val="24"/>
      </w:rPr>
    </w:pPr>
    <w:r>
      <w:rPr>
        <w:rFonts w:ascii="Tahoma" w:eastAsia="Tahoma" w:hAnsi="Tahoma" w:cs="Tahoma"/>
        <w:b/>
        <w:sz w:val="24"/>
        <w:szCs w:val="24"/>
      </w:rPr>
      <w:t xml:space="preserve">PROMOTORIA DE JUSTIÇA DE </w:t>
    </w:r>
    <w:r w:rsidR="00EF621C">
      <w:rPr>
        <w:rFonts w:ascii="Tahoma" w:eastAsia="Tahoma" w:hAnsi="Tahoma" w:cs="Tahoma"/>
        <w:b/>
        <w:sz w:val="24"/>
        <w:szCs w:val="24"/>
      </w:rPr>
      <w:t>MARAIAL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lowerLetter"/>
      <w:lvlText w:val="%1)"/>
      <w:lvlJc w:val="left"/>
      <w:pPr>
        <w:tabs>
          <w:tab w:val="num" w:pos="720"/>
        </w:tabs>
        <w:ind w:left="720" w:hanging="360"/>
      </w:pPr>
      <w:rPr>
        <w:rFonts w:ascii="Verdana" w:hAnsi="Verdana" w:cs="Verdana"/>
        <w:sz w:val="24"/>
        <w:szCs w:val="24"/>
        <w:lang w:val="pt-BR" w:eastAsia="zh-CN" w:bidi="ar-SA"/>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2" w15:restartNumberingAfterBreak="0">
    <w:nsid w:val="57C4468C"/>
    <w:multiLevelType w:val="hybridMultilevel"/>
    <w:tmpl w:val="BAC22E72"/>
    <w:lvl w:ilvl="0" w:tplc="DFD206DE">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ctiveWritingStyle w:appName="MSWord" w:lang="pt-BR" w:vendorID="64" w:dllVersion="131078"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A33"/>
    <w:rsid w:val="0000158C"/>
    <w:rsid w:val="000019FB"/>
    <w:rsid w:val="00015AB0"/>
    <w:rsid w:val="00042F3B"/>
    <w:rsid w:val="00051598"/>
    <w:rsid w:val="00052B71"/>
    <w:rsid w:val="000648DF"/>
    <w:rsid w:val="00071CA3"/>
    <w:rsid w:val="000829FC"/>
    <w:rsid w:val="000869AC"/>
    <w:rsid w:val="000919B9"/>
    <w:rsid w:val="00092C26"/>
    <w:rsid w:val="000A3DD1"/>
    <w:rsid w:val="000A6167"/>
    <w:rsid w:val="000B21EC"/>
    <w:rsid w:val="000B43C4"/>
    <w:rsid w:val="000C0658"/>
    <w:rsid w:val="000C0E62"/>
    <w:rsid w:val="000C3D7B"/>
    <w:rsid w:val="000C459C"/>
    <w:rsid w:val="000C7087"/>
    <w:rsid w:val="000D242A"/>
    <w:rsid w:val="00102343"/>
    <w:rsid w:val="00102B20"/>
    <w:rsid w:val="001044CD"/>
    <w:rsid w:val="0010497A"/>
    <w:rsid w:val="001067DB"/>
    <w:rsid w:val="00110AC5"/>
    <w:rsid w:val="00110B97"/>
    <w:rsid w:val="001111F1"/>
    <w:rsid w:val="00114B59"/>
    <w:rsid w:val="001326C5"/>
    <w:rsid w:val="00134AED"/>
    <w:rsid w:val="00145872"/>
    <w:rsid w:val="00150400"/>
    <w:rsid w:val="001626E4"/>
    <w:rsid w:val="00163E20"/>
    <w:rsid w:val="0017074B"/>
    <w:rsid w:val="001833BF"/>
    <w:rsid w:val="00183C09"/>
    <w:rsid w:val="00184ED2"/>
    <w:rsid w:val="00186AE6"/>
    <w:rsid w:val="00187F4C"/>
    <w:rsid w:val="00190FC6"/>
    <w:rsid w:val="00193723"/>
    <w:rsid w:val="0019570B"/>
    <w:rsid w:val="001A0003"/>
    <w:rsid w:val="001A327B"/>
    <w:rsid w:val="001A6433"/>
    <w:rsid w:val="001B7285"/>
    <w:rsid w:val="001C52FC"/>
    <w:rsid w:val="001C596E"/>
    <w:rsid w:val="001D4522"/>
    <w:rsid w:val="001E2769"/>
    <w:rsid w:val="001E34F3"/>
    <w:rsid w:val="001E7A1B"/>
    <w:rsid w:val="001E7ACC"/>
    <w:rsid w:val="001F071B"/>
    <w:rsid w:val="001F7D6C"/>
    <w:rsid w:val="00222CDF"/>
    <w:rsid w:val="00223007"/>
    <w:rsid w:val="002366AA"/>
    <w:rsid w:val="00242C9F"/>
    <w:rsid w:val="0026722D"/>
    <w:rsid w:val="00273403"/>
    <w:rsid w:val="00273963"/>
    <w:rsid w:val="00277955"/>
    <w:rsid w:val="00286201"/>
    <w:rsid w:val="00290655"/>
    <w:rsid w:val="002A096E"/>
    <w:rsid w:val="002A0CAE"/>
    <w:rsid w:val="002B3E56"/>
    <w:rsid w:val="002C1620"/>
    <w:rsid w:val="002C341A"/>
    <w:rsid w:val="002E59EA"/>
    <w:rsid w:val="002F1D7E"/>
    <w:rsid w:val="002F5688"/>
    <w:rsid w:val="0030267C"/>
    <w:rsid w:val="0030367D"/>
    <w:rsid w:val="003325EE"/>
    <w:rsid w:val="00336D9D"/>
    <w:rsid w:val="00340947"/>
    <w:rsid w:val="00354D0C"/>
    <w:rsid w:val="00360997"/>
    <w:rsid w:val="00362741"/>
    <w:rsid w:val="00370700"/>
    <w:rsid w:val="00376928"/>
    <w:rsid w:val="003B24BA"/>
    <w:rsid w:val="003C0EDA"/>
    <w:rsid w:val="003E0DB7"/>
    <w:rsid w:val="003E7369"/>
    <w:rsid w:val="003F485E"/>
    <w:rsid w:val="004137DE"/>
    <w:rsid w:val="00415D8D"/>
    <w:rsid w:val="0042667B"/>
    <w:rsid w:val="004276EA"/>
    <w:rsid w:val="0044103A"/>
    <w:rsid w:val="00454666"/>
    <w:rsid w:val="00463CA2"/>
    <w:rsid w:val="0046761E"/>
    <w:rsid w:val="004A0D95"/>
    <w:rsid w:val="004A1132"/>
    <w:rsid w:val="004A20DA"/>
    <w:rsid w:val="004B56A7"/>
    <w:rsid w:val="004D023E"/>
    <w:rsid w:val="005015A9"/>
    <w:rsid w:val="00501B4A"/>
    <w:rsid w:val="00503454"/>
    <w:rsid w:val="005267FB"/>
    <w:rsid w:val="005477E6"/>
    <w:rsid w:val="00571D71"/>
    <w:rsid w:val="005775A7"/>
    <w:rsid w:val="00580F2E"/>
    <w:rsid w:val="00582386"/>
    <w:rsid w:val="005A4B3F"/>
    <w:rsid w:val="005B0281"/>
    <w:rsid w:val="005C1F2F"/>
    <w:rsid w:val="005C74FB"/>
    <w:rsid w:val="005D7782"/>
    <w:rsid w:val="005F4FE7"/>
    <w:rsid w:val="00611EAE"/>
    <w:rsid w:val="00621187"/>
    <w:rsid w:val="00622826"/>
    <w:rsid w:val="00637C34"/>
    <w:rsid w:val="00643B2F"/>
    <w:rsid w:val="006473B0"/>
    <w:rsid w:val="00650708"/>
    <w:rsid w:val="00657646"/>
    <w:rsid w:val="00662BF8"/>
    <w:rsid w:val="006631AF"/>
    <w:rsid w:val="00667F5E"/>
    <w:rsid w:val="0067066B"/>
    <w:rsid w:val="006A5021"/>
    <w:rsid w:val="006D06E7"/>
    <w:rsid w:val="006E3E44"/>
    <w:rsid w:val="006E4254"/>
    <w:rsid w:val="006E57C1"/>
    <w:rsid w:val="006E5DE8"/>
    <w:rsid w:val="006F0166"/>
    <w:rsid w:val="00700510"/>
    <w:rsid w:val="00703E57"/>
    <w:rsid w:val="00704B10"/>
    <w:rsid w:val="00707BE2"/>
    <w:rsid w:val="00714E70"/>
    <w:rsid w:val="00720679"/>
    <w:rsid w:val="007260EC"/>
    <w:rsid w:val="00726D0B"/>
    <w:rsid w:val="00735F12"/>
    <w:rsid w:val="00746958"/>
    <w:rsid w:val="0076762C"/>
    <w:rsid w:val="0077224A"/>
    <w:rsid w:val="00774F8D"/>
    <w:rsid w:val="00782796"/>
    <w:rsid w:val="00787DC7"/>
    <w:rsid w:val="007A2B34"/>
    <w:rsid w:val="007A3DAF"/>
    <w:rsid w:val="007B170F"/>
    <w:rsid w:val="007C0507"/>
    <w:rsid w:val="007C2DEA"/>
    <w:rsid w:val="007C58AE"/>
    <w:rsid w:val="007E032B"/>
    <w:rsid w:val="007E7A88"/>
    <w:rsid w:val="007F659B"/>
    <w:rsid w:val="00812237"/>
    <w:rsid w:val="00827118"/>
    <w:rsid w:val="00827FAD"/>
    <w:rsid w:val="00832648"/>
    <w:rsid w:val="00833FAB"/>
    <w:rsid w:val="00841D53"/>
    <w:rsid w:val="00856FA7"/>
    <w:rsid w:val="00860B05"/>
    <w:rsid w:val="00871D5C"/>
    <w:rsid w:val="00880AAE"/>
    <w:rsid w:val="008832AC"/>
    <w:rsid w:val="008836A8"/>
    <w:rsid w:val="00883BF3"/>
    <w:rsid w:val="00886E25"/>
    <w:rsid w:val="00890842"/>
    <w:rsid w:val="00891CC5"/>
    <w:rsid w:val="00897360"/>
    <w:rsid w:val="008A50F3"/>
    <w:rsid w:val="008C437D"/>
    <w:rsid w:val="008C5DBF"/>
    <w:rsid w:val="008D3578"/>
    <w:rsid w:val="008D63CE"/>
    <w:rsid w:val="008E1C88"/>
    <w:rsid w:val="008F548E"/>
    <w:rsid w:val="00902C61"/>
    <w:rsid w:val="00905C18"/>
    <w:rsid w:val="0093549B"/>
    <w:rsid w:val="00937DF6"/>
    <w:rsid w:val="00942B91"/>
    <w:rsid w:val="0094387C"/>
    <w:rsid w:val="00944E40"/>
    <w:rsid w:val="00951EAB"/>
    <w:rsid w:val="00955563"/>
    <w:rsid w:val="00965F55"/>
    <w:rsid w:val="009A4382"/>
    <w:rsid w:val="009A4D74"/>
    <w:rsid w:val="009B3186"/>
    <w:rsid w:val="009B45D9"/>
    <w:rsid w:val="009D3282"/>
    <w:rsid w:val="009D3290"/>
    <w:rsid w:val="009E4813"/>
    <w:rsid w:val="009E5BE3"/>
    <w:rsid w:val="009F5C75"/>
    <w:rsid w:val="00A1282E"/>
    <w:rsid w:val="00A34FF1"/>
    <w:rsid w:val="00A36F65"/>
    <w:rsid w:val="00A42719"/>
    <w:rsid w:val="00A427E9"/>
    <w:rsid w:val="00A45187"/>
    <w:rsid w:val="00A4543C"/>
    <w:rsid w:val="00A5141D"/>
    <w:rsid w:val="00A52EC8"/>
    <w:rsid w:val="00A7148D"/>
    <w:rsid w:val="00A71A42"/>
    <w:rsid w:val="00A746A1"/>
    <w:rsid w:val="00AA2633"/>
    <w:rsid w:val="00AA656C"/>
    <w:rsid w:val="00AD49BB"/>
    <w:rsid w:val="00AE0178"/>
    <w:rsid w:val="00AE08C5"/>
    <w:rsid w:val="00AE6810"/>
    <w:rsid w:val="00AF7104"/>
    <w:rsid w:val="00B0174A"/>
    <w:rsid w:val="00B07EBC"/>
    <w:rsid w:val="00B210C9"/>
    <w:rsid w:val="00B315CB"/>
    <w:rsid w:val="00B40A73"/>
    <w:rsid w:val="00B459D1"/>
    <w:rsid w:val="00B52028"/>
    <w:rsid w:val="00B52229"/>
    <w:rsid w:val="00B57E5A"/>
    <w:rsid w:val="00B66080"/>
    <w:rsid w:val="00B70C62"/>
    <w:rsid w:val="00B73722"/>
    <w:rsid w:val="00B74937"/>
    <w:rsid w:val="00B86518"/>
    <w:rsid w:val="00B91716"/>
    <w:rsid w:val="00B94AA3"/>
    <w:rsid w:val="00B95642"/>
    <w:rsid w:val="00BA01CD"/>
    <w:rsid w:val="00BA380A"/>
    <w:rsid w:val="00BB0CF1"/>
    <w:rsid w:val="00BB1679"/>
    <w:rsid w:val="00BD12B3"/>
    <w:rsid w:val="00BD40C9"/>
    <w:rsid w:val="00BD4B2E"/>
    <w:rsid w:val="00BE23CE"/>
    <w:rsid w:val="00BF4C36"/>
    <w:rsid w:val="00C019C9"/>
    <w:rsid w:val="00C07F80"/>
    <w:rsid w:val="00C1106A"/>
    <w:rsid w:val="00C12644"/>
    <w:rsid w:val="00C13EFB"/>
    <w:rsid w:val="00C14C64"/>
    <w:rsid w:val="00C15CD2"/>
    <w:rsid w:val="00C20182"/>
    <w:rsid w:val="00C22D82"/>
    <w:rsid w:val="00C4119D"/>
    <w:rsid w:val="00C4207B"/>
    <w:rsid w:val="00C527A4"/>
    <w:rsid w:val="00C5303F"/>
    <w:rsid w:val="00C5683B"/>
    <w:rsid w:val="00C65102"/>
    <w:rsid w:val="00C657F3"/>
    <w:rsid w:val="00C72799"/>
    <w:rsid w:val="00C804E2"/>
    <w:rsid w:val="00C80B27"/>
    <w:rsid w:val="00C83954"/>
    <w:rsid w:val="00C906DE"/>
    <w:rsid w:val="00C972EE"/>
    <w:rsid w:val="00CA4CA7"/>
    <w:rsid w:val="00CA5B3A"/>
    <w:rsid w:val="00D02CC3"/>
    <w:rsid w:val="00D23820"/>
    <w:rsid w:val="00D37B56"/>
    <w:rsid w:val="00D56E0B"/>
    <w:rsid w:val="00D73E62"/>
    <w:rsid w:val="00D80474"/>
    <w:rsid w:val="00D819DB"/>
    <w:rsid w:val="00D849B3"/>
    <w:rsid w:val="00D87791"/>
    <w:rsid w:val="00D92AF9"/>
    <w:rsid w:val="00D9357C"/>
    <w:rsid w:val="00D943F3"/>
    <w:rsid w:val="00D97C93"/>
    <w:rsid w:val="00DC10C2"/>
    <w:rsid w:val="00DC1FEB"/>
    <w:rsid w:val="00DC5108"/>
    <w:rsid w:val="00DC5AA4"/>
    <w:rsid w:val="00DE092C"/>
    <w:rsid w:val="00DF19AB"/>
    <w:rsid w:val="00E1154E"/>
    <w:rsid w:val="00E31442"/>
    <w:rsid w:val="00E36DD6"/>
    <w:rsid w:val="00E45850"/>
    <w:rsid w:val="00E506E6"/>
    <w:rsid w:val="00E5366E"/>
    <w:rsid w:val="00E5728A"/>
    <w:rsid w:val="00E7232E"/>
    <w:rsid w:val="00E85A33"/>
    <w:rsid w:val="00E86390"/>
    <w:rsid w:val="00E86AD7"/>
    <w:rsid w:val="00E917BA"/>
    <w:rsid w:val="00E95243"/>
    <w:rsid w:val="00E977B9"/>
    <w:rsid w:val="00EA4BBE"/>
    <w:rsid w:val="00EB207A"/>
    <w:rsid w:val="00EB451E"/>
    <w:rsid w:val="00ED25AE"/>
    <w:rsid w:val="00ED2E20"/>
    <w:rsid w:val="00EE186E"/>
    <w:rsid w:val="00EE5F11"/>
    <w:rsid w:val="00EE6856"/>
    <w:rsid w:val="00EF2B15"/>
    <w:rsid w:val="00EF57AE"/>
    <w:rsid w:val="00EF5F69"/>
    <w:rsid w:val="00EF621C"/>
    <w:rsid w:val="00F13E6C"/>
    <w:rsid w:val="00F23A95"/>
    <w:rsid w:val="00F31269"/>
    <w:rsid w:val="00F34538"/>
    <w:rsid w:val="00F35468"/>
    <w:rsid w:val="00F4480F"/>
    <w:rsid w:val="00F46FF1"/>
    <w:rsid w:val="00F85200"/>
    <w:rsid w:val="00F867F3"/>
    <w:rsid w:val="00F939E8"/>
    <w:rsid w:val="00FA10B4"/>
    <w:rsid w:val="00FC6BD6"/>
    <w:rsid w:val="00FC769B"/>
    <w:rsid w:val="00FF29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15:docId w15:val="{3E6D3392-0496-6349-8C11-3AD3FD10F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lang w:eastAsia="zh-CN"/>
    </w:rPr>
  </w:style>
  <w:style w:type="paragraph" w:styleId="Ttulo1">
    <w:name w:val="heading 1"/>
    <w:basedOn w:val="Normal"/>
    <w:next w:val="Normal"/>
    <w:qFormat/>
    <w:pPr>
      <w:keepNext/>
      <w:numPr>
        <w:numId w:val="1"/>
      </w:numPr>
      <w:tabs>
        <w:tab w:val="left" w:pos="3969"/>
      </w:tabs>
      <w:ind w:left="567"/>
      <w:jc w:val="both"/>
      <w:outlineLvl w:val="0"/>
    </w:pPr>
    <w:rPr>
      <w:rFonts w:ascii="Garamond" w:hAnsi="Garamond" w:cs="Garamond"/>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Verdana" w:hAnsi="Verdana" w:cs="Verdana"/>
      <w:sz w:val="24"/>
      <w:szCs w:val="24"/>
      <w:lang w:val="pt-BR" w:eastAsia="zh-CN" w:bidi="ar-SA"/>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Fontepargpadro1">
    <w:name w:val="Fonte parág. padrão1"/>
  </w:style>
  <w:style w:type="character" w:customStyle="1" w:styleId="Heading1Char">
    <w:name w:val="Heading 1 Char"/>
    <w:basedOn w:val="Fontepargpadro1"/>
    <w:rPr>
      <w:rFonts w:ascii="Cambria" w:hAnsi="Cambria" w:cs="Times New Roman"/>
      <w:b/>
      <w:bCs/>
      <w:kern w:val="2"/>
      <w:sz w:val="32"/>
      <w:szCs w:val="32"/>
    </w:rPr>
  </w:style>
  <w:style w:type="character" w:customStyle="1" w:styleId="FooterChar">
    <w:name w:val="Footer Char"/>
    <w:basedOn w:val="Fontepargpadro1"/>
    <w:rPr>
      <w:rFonts w:cs="Times New Roman"/>
    </w:rPr>
  </w:style>
  <w:style w:type="character" w:styleId="Nmerodepgina">
    <w:name w:val="page number"/>
    <w:basedOn w:val="Fontepargpadro1"/>
    <w:rPr>
      <w:rFonts w:cs="Times New Roman"/>
    </w:rPr>
  </w:style>
  <w:style w:type="character" w:customStyle="1" w:styleId="BodyText3Char">
    <w:name w:val="Body Text 3 Char"/>
    <w:basedOn w:val="Fontepargpadro1"/>
    <w:rPr>
      <w:rFonts w:cs="Times New Roman"/>
      <w:sz w:val="16"/>
      <w:szCs w:val="16"/>
    </w:rPr>
  </w:style>
  <w:style w:type="character" w:customStyle="1" w:styleId="BalloonTextChar">
    <w:name w:val="Balloon Text Char"/>
    <w:basedOn w:val="Fontepargpadro1"/>
    <w:rPr>
      <w:rFonts w:cs="Times New Roman"/>
      <w:sz w:val="2"/>
    </w:rPr>
  </w:style>
  <w:style w:type="character" w:customStyle="1" w:styleId="HeaderChar">
    <w:name w:val="Header Char"/>
    <w:basedOn w:val="Fontepargpadro1"/>
    <w:rPr>
      <w:rFonts w:cs="Times New Roman"/>
    </w:rPr>
  </w:style>
  <w:style w:type="character" w:customStyle="1" w:styleId="FootnoteTextChar">
    <w:name w:val="Footnote Text Char"/>
    <w:basedOn w:val="Fontepargpadro1"/>
    <w:rPr>
      <w:rFonts w:cs="Times New Roman"/>
    </w:rPr>
  </w:style>
  <w:style w:type="character" w:customStyle="1" w:styleId="Caracteresdenotaderodap">
    <w:name w:val="Caracteres de nota de rodapé"/>
    <w:basedOn w:val="Fontepargpadro1"/>
    <w:rPr>
      <w:rFonts w:cs="Times New Roman"/>
      <w:vertAlign w:val="superscript"/>
    </w:rPr>
  </w:style>
  <w:style w:type="character" w:styleId="Hyperlink">
    <w:name w:val="Hyperlink"/>
    <w:basedOn w:val="Fontepargpadro1"/>
    <w:rPr>
      <w:rFonts w:cs="Times New Roman"/>
      <w:color w:val="0000FF"/>
      <w:u w:val="single"/>
    </w:rPr>
  </w:style>
  <w:style w:type="character" w:styleId="Refdenotaderodap">
    <w:name w:val="footnote reference"/>
    <w:rPr>
      <w:vertAlign w:val="superscript"/>
    </w:rPr>
  </w:style>
  <w:style w:type="character" w:customStyle="1" w:styleId="Caracteresdenotadefim">
    <w:name w:val="Caracteres de nota de fim"/>
    <w:rPr>
      <w:vertAlign w:val="superscript"/>
    </w:rPr>
  </w:style>
  <w:style w:type="character" w:customStyle="1" w:styleId="WW-Caracteresdenotadefim">
    <w:name w:val="WW-Caracteres de nota de fim"/>
  </w:style>
  <w:style w:type="character" w:styleId="Refdenotadefim">
    <w:name w:val="endnote reference"/>
    <w:rPr>
      <w:vertAlign w:val="superscript"/>
    </w:rPr>
  </w:style>
  <w:style w:type="character" w:customStyle="1" w:styleId="Smbolosdenumerao">
    <w:name w:val="Símbolos de numeração"/>
  </w:style>
  <w:style w:type="character" w:styleId="Forte">
    <w:name w:val="Strong"/>
    <w:qFormat/>
    <w:rPr>
      <w:b/>
      <w:bCs/>
    </w:rPr>
  </w:style>
  <w:style w:type="paragraph" w:customStyle="1" w:styleId="Ttulo10">
    <w:name w:val="Título1"/>
    <w:basedOn w:val="Normal"/>
    <w:next w:val="Corpodetexto"/>
    <w:pPr>
      <w:keepNext/>
      <w:spacing w:before="240" w:after="120"/>
    </w:pPr>
    <w:rPr>
      <w:rFonts w:ascii="Liberation Sans" w:eastAsia="Microsoft YaHei" w:hAnsi="Liberation Sans" w:cs="Arial"/>
      <w:sz w:val="28"/>
      <w:szCs w:val="28"/>
    </w:rPr>
  </w:style>
  <w:style w:type="paragraph" w:styleId="Corpodetexto">
    <w:name w:val="Body Text"/>
    <w:basedOn w:val="Normal"/>
    <w:pPr>
      <w:spacing w:after="140" w:line="276" w:lineRule="auto"/>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pPr>
      <w:suppressLineNumbers/>
    </w:pPr>
    <w:rPr>
      <w:rFonts w:cs="Arial"/>
    </w:rPr>
  </w:style>
  <w:style w:type="paragraph" w:styleId="Rodap">
    <w:name w:val="footer"/>
    <w:basedOn w:val="Normal"/>
    <w:pPr>
      <w:tabs>
        <w:tab w:val="center" w:pos="4320"/>
        <w:tab w:val="right" w:pos="8640"/>
      </w:tabs>
    </w:pPr>
    <w:rPr>
      <w:rFonts w:ascii="Umbrella" w:hAnsi="Umbrella" w:cs="Umbrella"/>
      <w:lang w:val="x-none" w:eastAsia="x-none"/>
    </w:rPr>
  </w:style>
  <w:style w:type="paragraph" w:customStyle="1" w:styleId="Corpodetexto31">
    <w:name w:val="Corpo de texto 31"/>
    <w:basedOn w:val="Normal"/>
    <w:pPr>
      <w:widowControl w:val="0"/>
      <w:spacing w:line="240" w:lineRule="atLeast"/>
    </w:pPr>
    <w:rPr>
      <w:rFonts w:ascii="Book Antiqua" w:hAnsi="Book Antiqua" w:cs="Book Antiqua"/>
      <w:b/>
      <w:sz w:val="22"/>
    </w:rPr>
  </w:style>
  <w:style w:type="paragraph" w:customStyle="1" w:styleId="Blockquote">
    <w:name w:val="Blockquote"/>
    <w:basedOn w:val="Normal"/>
    <w:pPr>
      <w:spacing w:before="100" w:after="100"/>
      <w:ind w:left="360" w:right="360"/>
    </w:pPr>
    <w:rPr>
      <w:sz w:val="24"/>
    </w:rPr>
  </w:style>
  <w:style w:type="paragraph" w:styleId="Textodebalo">
    <w:name w:val="Balloon Text"/>
    <w:basedOn w:val="Normal"/>
    <w:rPr>
      <w:rFonts w:ascii="Tahoma" w:hAnsi="Tahoma" w:cs="Tahoma"/>
      <w:sz w:val="16"/>
      <w:szCs w:val="16"/>
    </w:rPr>
  </w:style>
  <w:style w:type="paragraph" w:styleId="NormalWeb">
    <w:name w:val="Normal (Web)"/>
    <w:basedOn w:val="Normal"/>
    <w:pPr>
      <w:spacing w:before="280" w:after="280"/>
    </w:pPr>
    <w:rPr>
      <w:rFonts w:ascii="Arial Unicode MS" w:eastAsia="Arial Unicode MS" w:hAnsi="Arial Unicode MS" w:cs="Arial Unicode MS"/>
      <w:sz w:val="24"/>
      <w:szCs w:val="24"/>
    </w:rPr>
  </w:style>
  <w:style w:type="paragraph" w:styleId="Cabealho">
    <w:name w:val="header"/>
    <w:basedOn w:val="Normal"/>
    <w:pPr>
      <w:tabs>
        <w:tab w:val="center" w:pos="4252"/>
        <w:tab w:val="right" w:pos="8504"/>
      </w:tabs>
    </w:pPr>
  </w:style>
  <w:style w:type="paragraph" w:styleId="Textodenotaderodap">
    <w:name w:val="footnote text"/>
    <w:basedOn w:val="Normal"/>
  </w:style>
  <w:style w:type="paragraph" w:customStyle="1" w:styleId="Contedodoquadro">
    <w:name w:val="Conteúdo do quadro"/>
    <w:basedOn w:val="Normal"/>
  </w:style>
  <w:style w:type="paragraph" w:customStyle="1" w:styleId="Standard">
    <w:name w:val="Standard"/>
    <w:pPr>
      <w:widowControl w:val="0"/>
      <w:suppressAutoHyphens/>
      <w:textAlignment w:val="baseline"/>
    </w:pPr>
    <w:rPr>
      <w:rFonts w:ascii="Liberation Serif" w:eastAsia="SimSun" w:hAnsi="Liberation Serif" w:cs="Mangal"/>
      <w:kern w:val="2"/>
      <w:sz w:val="24"/>
      <w:szCs w:val="24"/>
      <w:lang w:eastAsia="zh-CN" w:bidi="hi-IN"/>
    </w:rPr>
  </w:style>
  <w:style w:type="paragraph" w:customStyle="1" w:styleId="Textbody">
    <w:name w:val="Text body"/>
    <w:basedOn w:val="Standard"/>
    <w:pPr>
      <w:spacing w:after="140" w:line="288" w:lineRule="auto"/>
    </w:pPr>
  </w:style>
  <w:style w:type="paragraph" w:customStyle="1" w:styleId="Contedodatabela">
    <w:name w:val="Conteúdo da tabela"/>
    <w:basedOn w:val="Normal"/>
    <w:pPr>
      <w:suppressLineNumbers/>
    </w:pPr>
  </w:style>
  <w:style w:type="paragraph" w:customStyle="1" w:styleId="Ttulodetabela">
    <w:name w:val="Título de tabela"/>
    <w:basedOn w:val="Contedodatabela"/>
    <w:pPr>
      <w:jc w:val="center"/>
    </w:pPr>
    <w:rPr>
      <w:b/>
      <w:bCs/>
    </w:rPr>
  </w:style>
  <w:style w:type="paragraph" w:styleId="PargrafodaLista">
    <w:name w:val="List Paragraph"/>
    <w:basedOn w:val="Normal"/>
    <w:uiPriority w:val="34"/>
    <w:qFormat/>
    <w:rsid w:val="000015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1995</Words>
  <Characters>10778</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RECOMENDAÇÃO ADMINISTRATIVA Nº  ____/09</vt:lpstr>
    </vt:vector>
  </TitlesOfParts>
  <Company/>
  <LinksUpToDate>false</LinksUpToDate>
  <CharactersWithSpaces>12748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RECOMENDAÇÃO ADMINISTRATIVA Nº  ____/09</dc:title>
  <dc:subject/>
  <dc:creator>marcio</dc:creator>
  <cp:keywords/>
  <cp:lastModifiedBy>marcio</cp:lastModifiedBy>
  <cp:revision>5</cp:revision>
  <cp:lastPrinted>1995-11-21T20:41:00Z</cp:lastPrinted>
  <dcterms:created xsi:type="dcterms:W3CDTF">2020-05-20T14:49:00Z</dcterms:created>
  <dcterms:modified xsi:type="dcterms:W3CDTF">2020-05-20T14:52:00Z</dcterms:modified>
</cp:coreProperties>
</file>