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jc w:val="center"/>
        <w:rPr>
          <w:lang w:val="pt-BR"/>
        </w:rPr>
      </w:pPr>
      <w:r>
        <w:rPr>
          <w:lang w:val="pt-BR"/>
        </w:rPr>
      </w:r>
    </w:p>
    <w:p>
      <w:pPr>
        <w:pStyle w:val="Normal"/>
        <w:ind w:hanging="0"/>
        <w:jc w:val="both"/>
        <w:rPr>
          <w:rFonts w:ascii="verdana;sans-serif" w:hAnsi="verdana;sans-serif"/>
          <w:b/>
          <w:sz w:val="24"/>
          <w:szCs w:val="24"/>
        </w:rPr>
      </w:pPr>
      <w:r>
        <w:rPr>
          <w:rFonts w:ascii="verdana;sans-serif" w:hAnsi="verdana;sans-serif"/>
          <w:b/>
          <w:sz w:val="24"/>
          <w:szCs w:val="24"/>
        </w:rPr>
        <w:t>Conexão Ambiental nº 0x/2023</w:t>
      </w:r>
    </w:p>
    <w:p>
      <w:pPr>
        <w:pStyle w:val="Normal"/>
        <w:rPr/>
      </w:pPr>
      <w:r>
        <w:rPr/>
      </w:r>
      <w:bookmarkStart w:id="0" w:name="m_6778777009118405324m_37453294114700806"/>
      <w:bookmarkStart w:id="1" w:name="m_6778777009118405324m_37453294114700806"/>
      <w:bookmarkEnd w:id="1"/>
    </w:p>
    <w:p>
      <w:pPr>
        <w:pStyle w:val="BodyText"/>
        <w:bidi w:val="0"/>
        <w:spacing w:lineRule="auto" w:line="331" w:before="0" w:after="0"/>
        <w:jc w:val="both"/>
        <w:rPr>
          <w:rFonts w:ascii="verdana;sans-serif" w:hAnsi="verdana;sans-serif"/>
          <w:b w:val="false"/>
          <w:color w:val="000000"/>
          <w:shd w:fill="auto" w:val="clear"/>
        </w:rPr>
      </w:pPr>
      <w:r>
        <w:rPr>
          <w:rFonts w:ascii="verdana;sans-serif" w:hAnsi="verdana;sans-serif"/>
          <w:b w:val="false"/>
          <w:color w:val="000000"/>
          <w:shd w:fill="auto" w:val="clear"/>
        </w:rPr>
        <w:t>A Procuradoria-Geral de Justiça publicou a Recomendação PGJ nº. 06/2023, com o objetivo de que os Promotores de Justiça com atuação na área do meio ambiente, respeitada a autonomia e independência funcionais, façam gestões junto aos respectivos prefeitos no sentido de elaborarem e assegurarem a ampla divulgação do Plano Municipal de Saneamento Básico – PMSB, assim como dos estudos técnicos realizados, nos termos da Legislação.</w:t>
      </w:r>
    </w:p>
    <w:p>
      <w:pPr>
        <w:pStyle w:val="BodyText"/>
        <w:rPr>
          <w:rFonts w:ascii="verdana;sans-serif" w:hAnsi="verdana;sans-serif"/>
        </w:rPr>
      </w:pPr>
      <w:r>
        <w:rPr>
          <w:rFonts w:ascii="verdana;sans-serif" w:hAnsi="verdana;sans-serif"/>
        </w:rPr>
      </w:r>
    </w:p>
    <w:p>
      <w:pPr>
        <w:pStyle w:val="BodyText"/>
        <w:bidi w:val="0"/>
        <w:spacing w:lineRule="auto" w:line="331" w:before="0" w:after="0"/>
        <w:jc w:val="both"/>
        <w:rPr>
          <w:rFonts w:ascii="verdana;sans-serif" w:hAnsi="verdana;sans-serif"/>
          <w:b w:val="false"/>
          <w:color w:val="000000"/>
          <w:shd w:fill="auto" w:val="clear"/>
        </w:rPr>
      </w:pPr>
      <w:r>
        <w:rPr>
          <w:rFonts w:ascii="verdana;sans-serif" w:hAnsi="verdana;sans-serif"/>
          <w:b w:val="false"/>
          <w:color w:val="000000"/>
          <w:shd w:fill="auto" w:val="clear"/>
        </w:rPr>
        <w:t xml:space="preserve">O CAO Meio Ambiente gostaria de destacar a relevância do PMSB diante das atualizações no Marco Legal do Saneamento Básico (Lei no. 11.445/2007), promovidas pela Lei n. 14.026/2020, que objetiva até 2033 atingir a meta de universalização da prestação dos serviços de saneamento básico, com o atendimento de 99% (noventa e nove por cento) da população com água potável e de 90% (noventa por cento) da população com coleta e tratamento de esgotos. </w:t>
      </w:r>
    </w:p>
    <w:p>
      <w:pPr>
        <w:pStyle w:val="BodyText"/>
        <w:bidi w:val="0"/>
        <w:spacing w:lineRule="auto" w:line="331" w:before="0" w:after="0"/>
        <w:jc w:val="both"/>
        <w:rPr>
          <w:rFonts w:ascii="verdana;sans-serif" w:hAnsi="verdana;sans-serif"/>
        </w:rPr>
      </w:pPr>
      <w:r>
        <w:rPr>
          <w:rFonts w:ascii="verdana;sans-serif" w:hAnsi="verdana;sans-serif"/>
        </w:rPr>
      </w:r>
    </w:p>
    <w:p>
      <w:pPr>
        <w:pStyle w:val="BodyText"/>
        <w:bidi w:val="0"/>
        <w:spacing w:lineRule="auto" w:line="331" w:before="0" w:after="0"/>
        <w:jc w:val="both"/>
        <w:rPr>
          <w:rFonts w:ascii="verdana;sans-serif" w:hAnsi="verdana;sans-serif"/>
          <w:b w:val="false"/>
          <w:color w:val="000000"/>
          <w:shd w:fill="auto" w:val="clear"/>
        </w:rPr>
      </w:pPr>
      <w:r>
        <w:rPr>
          <w:rFonts w:ascii="verdana;sans-serif" w:hAnsi="verdana;sans-serif"/>
          <w:b w:val="false"/>
          <w:color w:val="000000"/>
          <w:shd w:fill="auto" w:val="clear"/>
        </w:rPr>
        <w:t>Por fim, destaca-se que, com o crescimento da demanda da sociedade por água e sistema de esgotamento sanitário, amplia-</w:t>
      </w:r>
      <w:r>
        <w:rPr>
          <w:rFonts w:ascii="verdana;sans-serif" w:hAnsi="verdana;sans-serif"/>
          <w:b w:val="false"/>
          <w:color w:val="000000"/>
          <w:shd w:fill="auto" w:val="clear"/>
        </w:rPr>
        <w:t xml:space="preserve">se </w:t>
      </w:r>
      <w:r>
        <w:rPr>
          <w:rFonts w:ascii="verdana;sans-serif" w:hAnsi="verdana;sans-serif"/>
          <w:b w:val="false"/>
          <w:color w:val="000000"/>
          <w:shd w:fill="auto" w:val="clear"/>
        </w:rPr>
        <w:t>a responsabilidade dos órgãos de controle e fiscalização para estimular o planejamento e a implantação dessa infraestrutura, de forma a atender a legislação e promover a melhoria da qualidade de vida da população.</w:t>
      </w:r>
    </w:p>
    <w:p>
      <w:pPr>
        <w:pStyle w:val="BodyText"/>
        <w:spacing w:before="0" w:after="0"/>
        <w:rPr>
          <w:rFonts w:ascii="verdana;sans-serif" w:hAnsi="verdana;sans-serif"/>
          <w:b/>
        </w:rPr>
      </w:pPr>
      <w:r>
        <w:rPr>
          <w:rFonts w:ascii="verdana;sans-serif" w:hAnsi="verdana;sans-serif"/>
          <w:b/>
        </w:rPr>
      </w:r>
    </w:p>
    <w:p>
      <w:pPr>
        <w:pStyle w:val="BodyText"/>
        <w:spacing w:before="0" w:after="0"/>
        <w:rPr>
          <w:rFonts w:ascii="verdana;sans-serif" w:hAnsi="verdana;sans-serif"/>
        </w:rPr>
      </w:pPr>
      <w:r>
        <w:rPr>
          <w:rFonts w:ascii="verdana;sans-serif" w:hAnsi="verdana;sans-serif"/>
        </w:rPr>
      </w:r>
    </w:p>
    <w:p>
      <w:pPr>
        <w:pStyle w:val="BodyText"/>
        <w:spacing w:before="0" w:after="0"/>
        <w:rPr>
          <w:rFonts w:ascii="verdana;sans-serif" w:hAnsi="verdana;sans-serif"/>
        </w:rPr>
      </w:pPr>
      <w:r>
        <w:rPr>
          <w:rFonts w:ascii="verdana;sans-serif" w:hAnsi="verdana;sans-serif"/>
        </w:rPr>
        <w:t>Atenciosamente,</w:t>
      </w:r>
    </w:p>
    <w:p>
      <w:pPr>
        <w:pStyle w:val="BodyText"/>
        <w:spacing w:before="0" w:after="0"/>
        <w:rPr>
          <w:rFonts w:ascii="verdana;sans-serif" w:hAnsi="verdana;sans-serif"/>
          <w:sz w:val="24"/>
        </w:rPr>
      </w:pPr>
      <w:r>
        <w:rPr>
          <w:rFonts w:ascii="verdana;sans-serif" w:hAnsi="verdana;sans-serif"/>
          <w:sz w:val="24"/>
        </w:rPr>
      </w:r>
    </w:p>
    <w:p>
      <w:pPr>
        <w:pStyle w:val="LO-normal"/>
        <w:ind w:hanging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sectPr>
      <w:type w:val="nextPage"/>
      <w:pgSz w:w="11906" w:h="16838"/>
      <w:pgMar w:left="943" w:right="1449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altName w:val="sans-serif"/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400" w:after="12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000000"/>
      <w:position w:val="0"/>
      <w:sz w:val="4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360" w:after="12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000000"/>
      <w:position w:val="0"/>
      <w:sz w:val="32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320" w:after="8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434343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280" w:after="8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666666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240" w:after="8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666666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240" w:after="80"/>
      <w:ind w:hanging="0" w:left="0" w:right="0"/>
      <w:jc w:val="left"/>
    </w:pPr>
    <w:rPr>
      <w:rFonts w:ascii="Arial" w:hAnsi="Arial" w:eastAsia="Arial" w:cs="Arial"/>
      <w:b w:val="false"/>
      <w:i/>
      <w:caps w:val="false"/>
      <w:smallCaps w:val="false"/>
      <w:strike w:val="false"/>
      <w:dstrike w:val="false"/>
      <w:color w:val="666666"/>
      <w:position w:val="0"/>
      <w:sz w:val="22"/>
      <w:sz w:val="22"/>
      <w:szCs w:val="22"/>
      <w:u w:val="none"/>
      <w:shd w:fill="auto" w:val="clear"/>
      <w:vertAlign w:val="baseline"/>
    </w:rPr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0" w:after="6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000000"/>
      <w:position w:val="0"/>
      <w:sz w:val="52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widowControl/>
      <w:shd w:val="clear" w:fill="auto"/>
      <w:spacing w:lineRule="auto" w:line="240" w:before="0" w:after="320"/>
      <w:ind w:hanging="0" w:left="0" w:right="0"/>
      <w:jc w:val="left"/>
    </w:pPr>
    <w:rPr>
      <w:rFonts w:ascii="Arial" w:hAnsi="Arial" w:eastAsia="Arial" w:cs="Arial"/>
      <w:b w:val="false"/>
      <w:i w:val="false"/>
      <w:caps w:val="false"/>
      <w:smallCaps w:val="false"/>
      <w:strike w:val="false"/>
      <w:dstrike w:val="false"/>
      <w:color w:val="666666"/>
      <w:position w:val="0"/>
      <w:sz w:val="30"/>
      <w:sz w:val="30"/>
      <w:szCs w:val="30"/>
      <w:u w:val="none"/>
      <w:shd w:fill="auto" w:val="clear"/>
      <w:vertAlign w:val="baseline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497</TotalTime>
  <Application>LibreOffice/7.6.4.1$Windows_X86_64 LibreOffice_project/e19e193f88cd6c0525a17fb7a176ed8e6a3e2aa1</Application>
  <AppVersion>15.0000</AppVersion>
  <Pages>1</Pages>
  <Words>194</Words>
  <Characters>1062</Characters>
  <CharactersWithSpaces>1253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2023-12-13T14:20:33Z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