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Century Gothic" w:cs="Century Gothic" w:eastAsia="Century Gothic" w:hAnsi="Century Gothic"/>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2">
      <w:pPr>
        <w:keepNext w:val="1"/>
        <w:keepLines w:val="0"/>
        <w:pageBreakBefore w:val="0"/>
        <w:widowControl w:val="1"/>
        <w:numPr>
          <w:ilvl w:val="1"/>
          <w:numId w:val="1"/>
        </w:numPr>
        <w:pBdr>
          <w:top w:space="0" w:sz="0" w:val="nil"/>
          <w:left w:space="0" w:sz="0" w:val="nil"/>
          <w:bottom w:space="0" w:sz="0" w:val="nil"/>
          <w:right w:space="0" w:sz="0" w:val="nil"/>
          <w:between w:space="0" w:sz="0" w:val="nil"/>
        </w:pBdr>
        <w:shd w:fill="auto" w:val="clear"/>
        <w:tabs>
          <w:tab w:val="left" w:pos="0"/>
        </w:tabs>
        <w:spacing w:after="0" w:before="0" w:line="360" w:lineRule="auto"/>
        <w:ind w:left="0" w:right="0" w:firstLine="0"/>
        <w:jc w:val="center"/>
        <w:rPr>
          <w:rFonts w:ascii="Century Gothic" w:cs="Century Gothic" w:eastAsia="Century Gothic" w:hAnsi="Century Gothic"/>
          <w:b w:val="0"/>
          <w:i w:val="0"/>
          <w:smallCaps w:val="0"/>
          <w:strike w:val="0"/>
          <w:color w:val="000000"/>
          <w:sz w:val="24"/>
          <w:szCs w:val="24"/>
          <w:u w:val="none"/>
          <w:shd w:fill="auto" w:val="clear"/>
          <w:vertAlign w:val="baseline"/>
        </w:rPr>
      </w:pPr>
      <w:r w:rsidDel="00000000" w:rsidR="00000000" w:rsidRPr="00000000">
        <w:rPr>
          <w:rFonts w:ascii="Century Gothic" w:cs="Century Gothic" w:eastAsia="Century Gothic" w:hAnsi="Century Gothic"/>
          <w:b w:val="1"/>
          <w:i w:val="0"/>
          <w:smallCaps w:val="0"/>
          <w:strike w:val="0"/>
          <w:color w:val="000000"/>
          <w:sz w:val="24"/>
          <w:szCs w:val="24"/>
          <w:u w:val="none"/>
          <w:shd w:fill="auto" w:val="clear"/>
          <w:vertAlign w:val="baseline"/>
          <w:rtl w:val="0"/>
        </w:rPr>
        <w:t xml:space="preserve">RELATÓRIO DE JULGAMENTO DE RECURSO ADMINISTRATIVO </w:t>
      </w: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0"/>
        </w:tabs>
        <w:spacing w:after="0" w:before="0" w:line="240" w:lineRule="auto"/>
        <w:ind w:left="0" w:right="0" w:firstLine="0"/>
        <w:jc w:val="left"/>
        <w:rPr>
          <w:rFonts w:ascii="Century Gothic" w:cs="Century Gothic" w:eastAsia="Century Gothic" w:hAnsi="Century Gothic"/>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0"/>
        </w:tabs>
        <w:spacing w:after="0" w:before="0" w:line="240" w:lineRule="auto"/>
        <w:ind w:left="0" w:right="0" w:firstLine="0"/>
        <w:jc w:val="left"/>
        <w:rPr>
          <w:rFonts w:ascii="Century Gothic" w:cs="Century Gothic" w:eastAsia="Century Gothic" w:hAnsi="Century Gothic"/>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2835"/>
        </w:tabs>
        <w:spacing w:after="0" w:before="0" w:line="240" w:lineRule="auto"/>
        <w:ind w:left="3600" w:right="0" w:firstLine="0"/>
        <w:jc w:val="both"/>
        <w:rPr>
          <w:rFonts w:ascii="Century Gothic" w:cs="Century Gothic" w:eastAsia="Century Gothic" w:hAnsi="Century Gothic"/>
          <w:b w:val="0"/>
          <w:i w:val="1"/>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0"/>
          <w:i w:val="1"/>
          <w:smallCaps w:val="0"/>
          <w:strike w:val="0"/>
          <w:color w:val="000000"/>
          <w:sz w:val="22"/>
          <w:szCs w:val="22"/>
          <w:u w:val="none"/>
          <w:shd w:fill="auto" w:val="clear"/>
          <w:vertAlign w:val="baseline"/>
          <w:rtl w:val="0"/>
        </w:rPr>
        <w:t xml:space="preserve">IRRESIGNAÇÃO CONTRA A DECISÃO QUE DECLAROU VENCEDORA DO CERTAME A EMPRESA </w:t>
      </w:r>
      <w:r w:rsidDel="00000000" w:rsidR="00000000" w:rsidRPr="00000000">
        <w:rPr>
          <w:rFonts w:ascii="Century Gothic" w:cs="Century Gothic" w:eastAsia="Century Gothic" w:hAnsi="Century Gothic"/>
          <w:b w:val="1"/>
          <w:i w:val="1"/>
          <w:smallCaps w:val="0"/>
          <w:strike w:val="0"/>
          <w:color w:val="000000"/>
          <w:sz w:val="22"/>
          <w:szCs w:val="22"/>
          <w:u w:val="none"/>
          <w:shd w:fill="auto" w:val="clear"/>
          <w:vertAlign w:val="baseline"/>
          <w:rtl w:val="0"/>
        </w:rPr>
        <w:t xml:space="preserve">N4 TECNOLOGIA SOLUÇÕES EM INFORMATICA LTDA</w:t>
      </w: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2835"/>
          <w:tab w:val="left" w:pos="3686"/>
        </w:tabs>
        <w:spacing w:after="0" w:before="0" w:line="276" w:lineRule="auto"/>
        <w:ind w:left="3600" w:right="0" w:firstLine="0"/>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2835"/>
          <w:tab w:val="left" w:pos="3686"/>
        </w:tabs>
        <w:spacing w:after="0" w:before="0" w:line="276" w:lineRule="auto"/>
        <w:ind w:left="3600" w:right="0" w:firstLine="0"/>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1"/>
          <w:i w:val="0"/>
          <w:smallCaps w:val="0"/>
          <w:strike w:val="0"/>
          <w:color w:val="000000"/>
          <w:sz w:val="22"/>
          <w:szCs w:val="22"/>
          <w:u w:val="none"/>
          <w:shd w:fill="auto" w:val="clear"/>
          <w:vertAlign w:val="baseline"/>
          <w:rtl w:val="0"/>
        </w:rPr>
        <w:t xml:space="preserve">PROCESSO ELETRÔNICO</w:t>
      </w: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 Nº 0170.2022.CPL.PE.0093.MPPE</w:t>
      </w:r>
    </w:p>
    <w:bookmarkStart w:colFirst="0" w:colLast="0" w:name="bookmark=id.gjdgxs" w:id="0"/>
    <w:bookmarkEnd w:id="0"/>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0" w:right="0" w:firstLine="0"/>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1"/>
          <w:i w:val="0"/>
          <w:smallCaps w:val="0"/>
          <w:strike w:val="0"/>
          <w:color w:val="000000"/>
          <w:sz w:val="22"/>
          <w:szCs w:val="22"/>
          <w:u w:val="none"/>
          <w:shd w:fill="auto" w:val="clear"/>
          <w:vertAlign w:val="baseline"/>
          <w:rtl w:val="0"/>
        </w:rPr>
        <w:t xml:space="preserve">OBJETO: Locação de Equipamentos de Radiocomunicação</w:t>
      </w:r>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3686"/>
        </w:tabs>
        <w:spacing w:after="0" w:before="0" w:line="276" w:lineRule="auto"/>
        <w:ind w:left="3600" w:right="0" w:firstLine="0"/>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1"/>
          <w:i w:val="0"/>
          <w:smallCaps w:val="0"/>
          <w:strike w:val="0"/>
          <w:color w:val="000000"/>
          <w:sz w:val="22"/>
          <w:szCs w:val="22"/>
          <w:u w:val="none"/>
          <w:shd w:fill="auto" w:val="clear"/>
          <w:vertAlign w:val="baseline"/>
          <w:rtl w:val="0"/>
        </w:rPr>
        <w:t xml:space="preserve">RECORRENTE:</w:t>
      </w: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 CHT </w:t>
      </w:r>
      <w:r w:rsidDel="00000000" w:rsidR="00000000" w:rsidRPr="00000000">
        <w:rPr>
          <w:rFonts w:ascii="Century Gothic" w:cs="Century Gothic" w:eastAsia="Century Gothic" w:hAnsi="Century Gothic"/>
          <w:sz w:val="22"/>
          <w:szCs w:val="22"/>
          <w:rtl w:val="0"/>
        </w:rPr>
        <w:t xml:space="preserve">TELECOMUNICAÇÕES</w:t>
      </w: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 EIRELI.</w: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3686"/>
        </w:tabs>
        <w:spacing w:after="0" w:before="0" w:line="276" w:lineRule="auto"/>
        <w:ind w:left="3600" w:right="0" w:firstLine="0"/>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1"/>
          <w:i w:val="0"/>
          <w:smallCaps w:val="0"/>
          <w:strike w:val="0"/>
          <w:color w:val="000000"/>
          <w:sz w:val="22"/>
          <w:szCs w:val="22"/>
          <w:u w:val="none"/>
          <w:shd w:fill="auto" w:val="clear"/>
          <w:vertAlign w:val="baseline"/>
          <w:rtl w:val="0"/>
        </w:rPr>
        <w:t xml:space="preserve">RECORRIDO: </w:t>
      </w: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N4 TECNOLOGIA SOLUÇÕES EM INFORMATICA LTDA</w:t>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3686"/>
        </w:tabs>
        <w:spacing w:after="0" w:before="0" w:line="276" w:lineRule="auto"/>
        <w:ind w:left="4536" w:right="0" w:firstLine="0"/>
        <w:jc w:val="both"/>
        <w:rPr>
          <w:rFonts w:ascii="Century Gothic" w:cs="Century Gothic" w:eastAsia="Century Gothic" w:hAnsi="Century Gothic"/>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1418"/>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Versa o presente recurso administrativo a respeito do inconformismo da empresa </w:t>
      </w:r>
      <w:r w:rsidDel="00000000" w:rsidR="00000000" w:rsidRPr="00000000">
        <w:rPr>
          <w:rFonts w:ascii="Century Gothic" w:cs="Century Gothic" w:eastAsia="Century Gothic" w:hAnsi="Century Gothic"/>
          <w:b w:val="1"/>
          <w:i w:val="0"/>
          <w:smallCaps w:val="0"/>
          <w:strike w:val="0"/>
          <w:color w:val="000000"/>
          <w:sz w:val="22"/>
          <w:szCs w:val="22"/>
          <w:u w:val="none"/>
          <w:shd w:fill="auto" w:val="clear"/>
          <w:vertAlign w:val="baseline"/>
          <w:rtl w:val="0"/>
        </w:rPr>
        <w:t xml:space="preserve">CHT TELECOMUNICACOES EIRELI</w:t>
      </w: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 pessoa jurídica de direito privado, inscrita no CNPJ/MF sob o n.º 02.137.864/0001-85, com relação à decisão que declarou vencedora do certame a empresa </w:t>
      </w:r>
      <w:r w:rsidDel="00000000" w:rsidR="00000000" w:rsidRPr="00000000">
        <w:rPr>
          <w:rFonts w:ascii="Century Gothic" w:cs="Century Gothic" w:eastAsia="Century Gothic" w:hAnsi="Century Gothic"/>
          <w:b w:val="1"/>
          <w:i w:val="1"/>
          <w:smallCaps w:val="0"/>
          <w:strike w:val="0"/>
          <w:color w:val="000000"/>
          <w:sz w:val="22"/>
          <w:szCs w:val="22"/>
          <w:u w:val="none"/>
          <w:shd w:fill="auto" w:val="clear"/>
          <w:vertAlign w:val="baseline"/>
          <w:rtl w:val="0"/>
        </w:rPr>
        <w:t xml:space="preserve">N4 TECNOLOGIA SOLUÇÕES EM INFORMATICA LTDA</w:t>
      </w: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 pessoa jurídica de direito privado, inscrita no Ministério da Fazenda sob o CNPJ n. 34.836.951/0001-17. </w:t>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1"/>
          <w:i w:val="0"/>
          <w:smallCaps w:val="0"/>
          <w:strike w:val="0"/>
          <w:color w:val="000000"/>
          <w:sz w:val="22"/>
          <w:szCs w:val="22"/>
          <w:u w:val="none"/>
          <w:shd w:fill="auto" w:val="clear"/>
          <w:vertAlign w:val="baseline"/>
          <w:rtl w:val="0"/>
        </w:rPr>
        <w:t xml:space="preserve">I - DAS PRELIMINARES</w:t>
      </w:r>
      <w:r w:rsidDel="00000000" w:rsidR="00000000" w:rsidRPr="00000000">
        <w:rPr>
          <w:rtl w:val="0"/>
        </w:rPr>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1418"/>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Em sede de admissibilidade recursal, foram plenamente preenchidos, por parte da recorrente, os pressupostos de legitimidade, interesse processual, fundamentação e tempestividade, com fundamento na Lei Federal nº 10.520/2002 e no Decreto nº 5.450/05, subsidiados pela Lei Federal nº 8.666/93.</w:t>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1418"/>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1"/>
          <w:i w:val="0"/>
          <w:smallCaps w:val="0"/>
          <w:strike w:val="0"/>
          <w:color w:val="000000"/>
          <w:sz w:val="22"/>
          <w:szCs w:val="22"/>
          <w:u w:val="none"/>
          <w:shd w:fill="auto" w:val="clear"/>
          <w:vertAlign w:val="baseline"/>
          <w:rtl w:val="0"/>
        </w:rPr>
        <w:t xml:space="preserve">II - DAS FORMALIDADES LEGAIS</w:t>
      </w: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1418"/>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1418"/>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Cumpridas as formalidades legais, registre-se que foi cientificado aos licitantes da existência e trâmite do epigrafado RECURSO ADMINISTRATIVO interposto, conforme consta no sistema PE-INTEGRADO, aba "Registro de Recursos" do Processo Licitatório retro identificado. Concedido o prazo para as contrarrazões, a empresa </w:t>
      </w:r>
      <w:r w:rsidDel="00000000" w:rsidR="00000000" w:rsidRPr="00000000">
        <w:rPr>
          <w:rFonts w:ascii="Century Gothic" w:cs="Century Gothic" w:eastAsia="Century Gothic" w:hAnsi="Century Gothic"/>
          <w:b w:val="1"/>
          <w:i w:val="1"/>
          <w:smallCaps w:val="0"/>
          <w:strike w:val="0"/>
          <w:color w:val="000000"/>
          <w:sz w:val="22"/>
          <w:szCs w:val="22"/>
          <w:u w:val="none"/>
          <w:shd w:fill="auto" w:val="clear"/>
          <w:vertAlign w:val="baseline"/>
          <w:rtl w:val="0"/>
        </w:rPr>
        <w:t xml:space="preserve">N4 TECNOLOGIA SOLUÇÕES EM INFORMATICA LTDA</w:t>
      </w: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 apresentou referida peça dentro prazo legal.</w:t>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1418"/>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1"/>
          <w:i w:val="0"/>
          <w:smallCaps w:val="0"/>
          <w:strike w:val="0"/>
          <w:color w:val="000000"/>
          <w:sz w:val="22"/>
          <w:szCs w:val="22"/>
          <w:u w:val="none"/>
          <w:shd w:fill="auto" w:val="clear"/>
          <w:vertAlign w:val="baseline"/>
          <w:rtl w:val="0"/>
        </w:rPr>
        <w:t xml:space="preserve">III - DAS RAZÕES RECURSAIS </w:t>
      </w:r>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1418"/>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A recorrente </w:t>
      </w:r>
      <w:r w:rsidDel="00000000" w:rsidR="00000000" w:rsidRPr="00000000">
        <w:rPr>
          <w:rFonts w:ascii="Century Gothic" w:cs="Century Gothic" w:eastAsia="Century Gothic" w:hAnsi="Century Gothic"/>
          <w:b w:val="1"/>
          <w:i w:val="0"/>
          <w:smallCaps w:val="0"/>
          <w:strike w:val="0"/>
          <w:color w:val="000000"/>
          <w:sz w:val="22"/>
          <w:szCs w:val="22"/>
          <w:u w:val="none"/>
          <w:shd w:fill="auto" w:val="clear"/>
          <w:vertAlign w:val="baseline"/>
          <w:rtl w:val="0"/>
        </w:rPr>
        <w:t xml:space="preserve">CHT </w:t>
      </w:r>
      <w:r w:rsidDel="00000000" w:rsidR="00000000" w:rsidRPr="00000000">
        <w:rPr>
          <w:rFonts w:ascii="Century Gothic" w:cs="Century Gothic" w:eastAsia="Century Gothic" w:hAnsi="Century Gothic"/>
          <w:b w:val="1"/>
          <w:sz w:val="22"/>
          <w:szCs w:val="22"/>
          <w:rtl w:val="0"/>
        </w:rPr>
        <w:t xml:space="preserve">TELECOMUNICAÇÕES</w:t>
      </w:r>
      <w:r w:rsidDel="00000000" w:rsidR="00000000" w:rsidRPr="00000000">
        <w:rPr>
          <w:rFonts w:ascii="Century Gothic" w:cs="Century Gothic" w:eastAsia="Century Gothic" w:hAnsi="Century Gothic"/>
          <w:b w:val="1"/>
          <w:i w:val="0"/>
          <w:smallCaps w:val="0"/>
          <w:strike w:val="0"/>
          <w:color w:val="000000"/>
          <w:sz w:val="22"/>
          <w:szCs w:val="22"/>
          <w:u w:val="none"/>
          <w:shd w:fill="auto" w:val="clear"/>
          <w:vertAlign w:val="baseline"/>
          <w:rtl w:val="0"/>
        </w:rPr>
        <w:t xml:space="preserve"> EIRELI</w:t>
      </w: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 com fundamento nos ditames do inc. XVIII do art. 4º da Lei 10.520/02, e o disposto no Edital, cláusula 13.7, apresenta RECURSO ADMINISTRATIVO, em face do ato que declarou vencedora do certame a empresa </w:t>
      </w:r>
      <w:r w:rsidDel="00000000" w:rsidR="00000000" w:rsidRPr="00000000">
        <w:rPr>
          <w:rFonts w:ascii="Century Gothic" w:cs="Century Gothic" w:eastAsia="Century Gothic" w:hAnsi="Century Gothic"/>
          <w:b w:val="1"/>
          <w:i w:val="1"/>
          <w:smallCaps w:val="0"/>
          <w:strike w:val="0"/>
          <w:color w:val="000000"/>
          <w:sz w:val="22"/>
          <w:szCs w:val="22"/>
          <w:u w:val="none"/>
          <w:shd w:fill="auto" w:val="clear"/>
          <w:vertAlign w:val="baseline"/>
          <w:rtl w:val="0"/>
        </w:rPr>
        <w:t xml:space="preserve">N4 TECNOLOGIA SOLUÇÕES EM INFORMATICA LTDA</w:t>
      </w: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 em suma, conforme a seguir:</w:t>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1418"/>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8" w:right="0" w:firstLine="0"/>
        <w:jc w:val="both"/>
        <w:rPr>
          <w:rFonts w:ascii="Century Gothic" w:cs="Century Gothic" w:eastAsia="Century Gothic" w:hAnsi="Century Gothic"/>
          <w:b w:val="0"/>
          <w:i w:val="0"/>
          <w:smallCaps w:val="0"/>
          <w:strike w:val="0"/>
          <w:color w:val="000000"/>
          <w:sz w:val="18"/>
          <w:szCs w:val="18"/>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000000"/>
          <w:sz w:val="18"/>
          <w:szCs w:val="18"/>
          <w:u w:val="none"/>
          <w:shd w:fill="auto" w:val="clear"/>
          <w:vertAlign w:val="baseline"/>
          <w:rtl w:val="0"/>
        </w:rPr>
        <w:t xml:space="preserve">[..];</w:t>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8" w:right="0" w:firstLine="0"/>
        <w:jc w:val="both"/>
        <w:rPr>
          <w:rFonts w:ascii="Century Gothic" w:cs="Century Gothic" w:eastAsia="Century Gothic" w:hAnsi="Century Gothic"/>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8" w:right="0" w:firstLine="0"/>
        <w:jc w:val="both"/>
        <w:rPr>
          <w:rFonts w:ascii="Century Gothic" w:cs="Century Gothic" w:eastAsia="Century Gothic" w:hAnsi="Century Gothic"/>
          <w:b w:val="0"/>
          <w:i w:val="0"/>
          <w:smallCaps w:val="0"/>
          <w:strike w:val="0"/>
          <w:color w:val="000000"/>
          <w:sz w:val="18"/>
          <w:szCs w:val="18"/>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000000"/>
          <w:sz w:val="18"/>
          <w:szCs w:val="18"/>
          <w:u w:val="none"/>
          <w:shd w:fill="auto" w:val="clear"/>
          <w:vertAlign w:val="baseline"/>
          <w:rtl w:val="0"/>
        </w:rPr>
        <w:t xml:space="preserve">2. DO NÃO ATENDIMENTO AS ESPECIFICAÇÕES (PRODUTO INFERIOR)</w:t>
        <w:br w:type="textWrapping"/>
        <w:br w:type="textWrapping"/>
        <w:t xml:space="preserve">Prezado senhor pregoeiro, verificamos que a recorrida afim de ludibriar este órgão, ofertou equipamento demasiadamente inferior ao exigido em Edital e suas especificações, constantes no Anexo I - Termo de Referência, vejamos:</w:t>
        <w:br w:type="textWrapping"/>
        <w:br w:type="textWrapping"/>
        <w:t xml:space="preserve">a) Acesso a sistema DMR (item 4.3);</w:t>
        <w:br w:type="textWrapping"/>
        <w:t xml:space="preserve">b) Comunicação do tipo troncalizada (item 4.4);</w:t>
        <w:br w:type="textWrapping"/>
        <w:t xml:space="preserve">c) Rádio transceptor portátil, faixa de frequência UHF (403-470 Mhz) (descrição);</w:t>
        <w:br w:type="textWrapping"/>
        <w:t xml:space="preserve">d) espaçamento de canais (Khz): 12,5, 25(descrição);</w:t>
        <w:br w:type="textWrapping"/>
        <w:t xml:space="preserve">e) especificação militar: 810 d, 810 e(descrição);</w:t>
        <w:br w:type="textWrapping"/>
        <w:t xml:space="preserve">f) padrões de IP: IP54 (descrição);</w:t>
        <w:br w:type="textWrapping"/>
        <w:t xml:space="preserve">g) Rádios devem suportar ambos os modos: analógico e digital. (item 5.2.1)</w:t>
        <w:br w:type="textWrapping"/>
        <w:t xml:space="preserve">h) Os terminais devem suportar todas as chamadas, individuais e de grupo (No rádio portátil)...( 5.3.1).</w:t>
        <w:br w:type="textWrapping"/>
        <w:br w:type="textWrapping"/>
        <w:t xml:space="preserve">Primeiramente, destacamos que os equipamentos ofertados, não possuem acesso a sistema DMR nem tão pouco a comunicação troncalizada. Quanto a frequência a mesma não opera em 403 a 470 Mhz, operando somente entre 462,56 a 467,58 Mhz, não possui espaçamento de canais.</w:t>
        <w:br w:type="textWrapping"/>
        <w:br w:type="textWrapping"/>
        <w:t xml:space="preserve">Quanto aos níveis de proteção, analisando site do fabricante, manual e catalogo do produto, não há informações/comprovações de que o equipamento possui especificação militar: 810 d, 810 e padrões de IP: IP54.</w:t>
        <w:br w:type="textWrapping"/>
        <w:br w:type="textWrapping"/>
        <w:t xml:space="preserve">Quanto ao modo, verificamos no catálogo que o equipamento funciona apenas em modo analógico, não atendendo a exigência quanto ao padrão “digital” também exigido.</w:t>
        <w:br w:type="textWrapping"/>
        <w:br w:type="textWrapping"/>
        <w:t xml:space="preserve">Verificamos também a exigência que o rádio suporte chamadas individuais e em grupo, esta não foi comprovada, nem tão pouco possui tal informação no catalogo ou manual do produto.</w:t>
        <w:br w:type="textWrapping"/>
        <w:br w:type="textWrapping"/>
        <w:t xml:space="preserve">Ressaltamos ainda que é obrigação do licitante comprovar que seu equipamento atende a todos os padrões descritos no Termo de Referencia, conforme previsto no item 5.1.2 do respectivo documento, vejamos:</w:t>
        <w:br w:type="textWrapping"/>
        <w:br w:type="textWrapping"/>
        <w:t xml:space="preserve">5.1.2 O rádio oferecido deverá ser de boa qualidade e ATENDER aos padrões mínimos descritos neste Termo de Referência. O Licitante DEVE fornecer comprovações de TODOS os padrões que seus rádios atendem.</w:t>
        <w:br w:type="textWrapping"/>
        <w:br w:type="textWrapping"/>
        <w:t xml:space="preserve">É importante frisar que o a Lei de Licitações versa que a proposta que desviar do pedido do edital deverá ser desclassificada de acordo com o inciso I do artigo 48 da Lei 8666/93 (modalidades tradicionais), inciso X do artigo 4 da Lei 10520/2002 e § 2 do artigo 22 do Decreto 5450/2005 (modalidade pregão), que regram respectivamente:</w:t>
        <w:br w:type="textWrapping"/>
        <w:br w:type="textWrapping"/>
        <w:t xml:space="preserve">Art. 48. Serão desclassificadas:</w:t>
        <w:br w:type="textWrapping"/>
        <w:t xml:space="preserve">I – as propostas que não atendam às exigências do ato convocatório da licitação;</w:t>
        <w:br w:type="textWrapping"/>
        <w:br w:type="textWrapping"/>
        <w:t xml:space="preserve">X – para julgamento e classificação das propostas, será adotado o critério de menor preço, observados os prazos máximos para fornecimento, as especificações técnicas e parâmetros mínimos de desempenho e qualidade definidos no edital;</w:t>
        <w:br w:type="textWrapping"/>
        <w:br w:type="textWrapping"/>
        <w:t xml:space="preserve">§ 2º O pregoeiro verificará as propostas apresentadas, desclassificando aquelas que não estejam em conformidade com os requisitos estabelecidos no edital.</w:t>
        <w:br w:type="textWrapping"/>
        <w:br w:type="textWrapping"/>
        <w:t xml:space="preserve">Ressalto ainda previsões contidas no Edital, vejamos:</w:t>
        <w:br w:type="textWrapping"/>
        <w:br w:type="textWrapping"/>
        <w:t xml:space="preserve">8.11. Serão desclassificadas, ainda, as propostas que comprovadamente cotarem objeto diverso daquele requerido nesta licitação.</w:t>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8" w:right="0" w:firstLine="0"/>
        <w:jc w:val="both"/>
        <w:rPr>
          <w:rFonts w:ascii="Century Gothic" w:cs="Century Gothic" w:eastAsia="Century Gothic" w:hAnsi="Century Gothic"/>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8" w:right="0" w:firstLine="0"/>
        <w:jc w:val="both"/>
        <w:rPr>
          <w:rFonts w:ascii="Century Gothic" w:cs="Century Gothic" w:eastAsia="Century Gothic" w:hAnsi="Century Gothic"/>
          <w:b w:val="0"/>
          <w:i w:val="0"/>
          <w:smallCaps w:val="0"/>
          <w:strike w:val="0"/>
          <w:color w:val="000000"/>
          <w:sz w:val="18"/>
          <w:szCs w:val="18"/>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000000"/>
          <w:sz w:val="18"/>
          <w:szCs w:val="18"/>
          <w:u w:val="none"/>
          <w:shd w:fill="auto" w:val="clear"/>
          <w:vertAlign w:val="baseline"/>
          <w:rtl w:val="0"/>
        </w:rPr>
        <w:t xml:space="preserve">[...];</w:t>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8" w:right="0" w:firstLine="0"/>
        <w:jc w:val="both"/>
        <w:rPr>
          <w:rFonts w:ascii="Century Gothic" w:cs="Century Gothic" w:eastAsia="Century Gothic" w:hAnsi="Century Gothic"/>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8" w:right="0" w:firstLine="0"/>
        <w:jc w:val="both"/>
        <w:rPr>
          <w:rFonts w:ascii="Century Gothic" w:cs="Century Gothic" w:eastAsia="Century Gothic" w:hAnsi="Century Gothic"/>
          <w:b w:val="0"/>
          <w:i w:val="0"/>
          <w:smallCaps w:val="0"/>
          <w:strike w:val="0"/>
          <w:color w:val="000000"/>
          <w:sz w:val="18"/>
          <w:szCs w:val="18"/>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000000"/>
          <w:sz w:val="18"/>
          <w:szCs w:val="18"/>
          <w:u w:val="none"/>
          <w:shd w:fill="auto" w:val="clear"/>
          <w:vertAlign w:val="baseline"/>
          <w:rtl w:val="0"/>
        </w:rPr>
        <w:t xml:space="preserve">3. DA FALTA DE SEGURANÇA</w:t>
        <w:br w:type="textWrapping"/>
        <w:br w:type="textWrapping"/>
        <w:t xml:space="preserve">Analisando os autos do processo verificamos que os rádios serão utilizados para corroborar com a segurança desde ilustríssimo órgão vejamos:</w:t>
        <w:br w:type="textWrapping"/>
        <w:br w:type="textWrapping"/>
        <w:t xml:space="preserve">JUSTIFICATIVA</w:t>
        <w:br w:type="textWrapping"/>
        <w:t xml:space="preserve">“Surge então a necessidade da abertura do processo licitatório para o fornecimento de equipamentos de comunicação, conforme quantidades e modelos previstos neste Termo de Referência, consistindo em ferramentas indispensáveis à prestação de um serviço de qualidade, observando-se as questões de segurança e sigilo nas comunicações entre servidores do órgão.”</w:t>
        <w:br w:type="textWrapping"/>
        <w:br w:type="textWrapping"/>
        <w:t xml:space="preserve">Caso este ilustríssimo órgão, opte por contratar a recorrida, contrariando todos os princípios administrativos que regem a administração publica, leis e entendimentos do TCE e TCU, cumpre ressaltar que os equipamento ofertados são pre-programados de fábrica.</w:t>
        <w:br w:type="textWrapping"/>
        <w:br w:type="textWrapping"/>
        <w:t xml:space="preserve">Qualquer individuo que possua um equipamento da mesma linha da fabricante (ex: 4002 / 4102 / 3002 e etc), ou de outros fabricantes de rádio na banda FHS configurados nas frequências acima, estes poderão interagir, escutando, enviando áudio, acarretando em diversos problemas não só de comunicação, como os de falta de sigilo e comprometimento da segurança deste órgão.</w:t>
        <w:br w:type="textWrapping"/>
        <w:br w:type="textWrapping"/>
        <w:t xml:space="preserve">4. DA FALTA DE ATENDIMENTO AOS REQUISITOS DE HABILITAÇÃO</w:t>
        <w:br w:type="textWrapping"/>
        <w:br w:type="textWrapping"/>
        <w:t xml:space="preserve">Analisando os documentos exigidos no edital e seus anexos, verificamos os seguintes:</w:t>
        <w:br w:type="textWrapping"/>
        <w:br w:type="textWrapping"/>
        <w:t xml:space="preserve">a) ANEXO I. Declaração de Pleno atendimento aos requisitos de Habilitação. (AUSENTE);</w:t>
        <w:br w:type="textWrapping"/>
        <w:t xml:space="preserve">b) ANEXO II. Declaração de Enquadramento como ME ou EPP. (AUSENTE);</w:t>
        <w:br w:type="textWrapping"/>
        <w:t xml:space="preserve">c) ANEXO IV. Dados Cadastrais (AUSENTE);</w:t>
        <w:br w:type="textWrapping"/>
        <w:t xml:space="preserve">d) ANEXO VI. Declaração de Regularidade - Resoluções CNMP 01/2005, 07/2006, 37/2009, 172/2017 e 177/2017. (AUSENTE);</w:t>
        <w:br w:type="textWrapping"/>
        <w:t xml:space="preserve">e) Balanço. (AUSENTE);</w:t>
        <w:br w:type="textWrapping"/>
        <w:t xml:space="preserve">f) Deverá apresentar certidão de regularidade profissional no CRC do contador responsável pelo balanço patrimonial. (AUSENTE);</w:t>
        <w:br w:type="textWrapping"/>
        <w:t xml:space="preserve">g) Atestado de Capacidade Técnica. (AUSENTE);</w:t>
        <w:br w:type="textWrapping"/>
        <w:t xml:space="preserve">h) Certidão Negativa de Falência e Concordata Pje 1 e 2. (VENCIDAS);</w:t>
        <w:br w:type="textWrapping"/>
        <w:t xml:space="preserve">i) Certidão Negativa de Débitos Relativos aos tributos federais e à Dívida Ativa da União, dentro do prazo de validade (inclusive a prova de Regularidade perante a Seguridade Social); VENCIDA.</w:t>
        <w:br w:type="textWrapping"/>
        <w:t xml:space="preserve">Prezados, apesar de todos os cuidados tomados na analise dos documentos apresentados pela recorrida, verificamos não só irregularidades, mas também a ausência de diversos documentos exigidos em edital, conforme mencionado acima, vejamos quais as providencias devem ser tomadas pelas irregularidades apresentadas:</w:t>
        <w:br w:type="textWrapping"/>
        <w:br w:type="textWrapping"/>
        <w:t xml:space="preserve">(Edital)</w:t>
        <w:br w:type="textWrapping"/>
        <w:t xml:space="preserve">8.7. Serão desclassificadas as propostas que não atenderem às exigências deste Edital, apresentarem preços inexequíveis na forma da Lei nº 8.666/93, ou contiverem irregularidades insanáveis.</w:t>
        <w:br w:type="textWrapping"/>
        <w:br w:type="textWrapping"/>
        <w:t xml:space="preserve">9.16. Se a proposta ou o lance de menor valor não for aceitável, ou se a empresa desatender às exigências habilitatórias, a pregoeira examinará a proposta ou lance subsequente, verificando a sua compatibilidade e a habilitação do participante, na ordem de classificação, e assim sucessivamente, até a apuração de uma proposta ou lance que atenda o Edital.</w:t>
        <w:br w:type="textWrapping"/>
        <w:br w:type="textWrapping"/>
        <w:t xml:space="preserve">10.2. A proposta de preço final deverá conter os seguintes documentos, em meio impresso:</w:t>
        <w:br w:type="textWrapping"/>
        <w:t xml:space="preserve">10.2.1. Dados cadastrais, conforme modelo Anexo IV;</w:t>
        <w:br w:type="textWrapping"/>
        <w:t xml:space="preserve">10.2.2. Declaração de enquadramento como microempresa ou empresa de pequeno porte, conforme modelo do Anexo II deste Edital.</w:t>
        <w:br w:type="textWrapping"/>
        <w:t xml:space="preserve">10.2.3. Declaração de Atendimento de Requisito de habilitação, de acordo com modelo do Anexo I do Edital.</w:t>
        <w:br w:type="textWrapping"/>
        <w:t xml:space="preserve">10.2.4. Declaração de Regularidade, de acordo com modelo do Anexo VI do Edital.</w:t>
        <w:br w:type="textWrapping"/>
        <w:t xml:space="preserve">10.3. A não apresentação de qualquer dos documentos da subcondição anterior poderá desclassificar o licitante.</w:t>
        <w:br w:type="textWrapping"/>
        <w:br w:type="textWrapping"/>
        <w:t xml:space="preserve">Dentre as varias irregularidades já mencionadas acima, lembramos que a emissão de nota fiscais não confere atestado de capacidade técnica, qualquer empresa facilmente notas fiscais, entretanto, isso não comprova o correto e perfeito atendimento aos serviços prestados, nem tão pouco a satisfação do tomador do serviço, a ausência deste documento exigido em edital por se só já acarreta na desclassificação do licitante.</w:t>
        <w:br w:type="textWrapping"/>
        <w:br w:type="textWrapping"/>
        <w:t xml:space="preserve">É importante frisar a recorrida não juntou declaração que preenche os requisitos para obter os benefícios, de Micro Empresa e Empresa de pequeno porte, este que confere ao licitante a juntar no prazo de cinco dias documentos de regularidade fiscal, ressalto ainda, que o respectivo beneficio é apenas para regularidade fiscal, não compreendendo os documentos de qualificação econômica e documentos de habilitação técnica.</w:t>
        <w:br w:type="textWrapping"/>
        <w:br w:type="textWrapping"/>
        <w:t xml:space="preserve">Ainda nesta seara, a recorrida ao não apresentou balanço e não comprovou o patrimônio liquido mínimo exigido em edital, nem tão pouco juntou CRC do contador, este também exigido em Edital.</w:t>
        <w:br w:type="textWrapping"/>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8" w:right="0" w:firstLine="0"/>
        <w:jc w:val="both"/>
        <w:rPr>
          <w:rFonts w:ascii="Century Gothic" w:cs="Century Gothic" w:eastAsia="Century Gothic" w:hAnsi="Century Gothic"/>
          <w:b w:val="0"/>
          <w:i w:val="0"/>
          <w:smallCaps w:val="0"/>
          <w:strike w:val="0"/>
          <w:color w:val="000000"/>
          <w:sz w:val="18"/>
          <w:szCs w:val="18"/>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000000"/>
          <w:sz w:val="18"/>
          <w:szCs w:val="18"/>
          <w:u w:val="none"/>
          <w:shd w:fill="auto" w:val="clear"/>
          <w:vertAlign w:val="baseline"/>
          <w:rtl w:val="0"/>
        </w:rPr>
        <w:t xml:space="preserve">[...];</w:t>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8" w:right="0" w:firstLine="0"/>
        <w:jc w:val="both"/>
        <w:rPr>
          <w:rFonts w:ascii="Century Gothic" w:cs="Century Gothic" w:eastAsia="Century Gothic" w:hAnsi="Century Gothic"/>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8" w:right="0" w:firstLine="0"/>
        <w:jc w:val="both"/>
        <w:rPr>
          <w:rFonts w:ascii="Century Gothic" w:cs="Century Gothic" w:eastAsia="Century Gothic" w:hAnsi="Century Gothic"/>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1418"/>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Por fim, requer o seguinte;</w:t>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397" w:firstLine="0"/>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701" w:right="388" w:firstLine="0"/>
        <w:jc w:val="both"/>
        <w:rPr>
          <w:rFonts w:ascii="Century Gothic" w:cs="Century Gothic" w:eastAsia="Century Gothic" w:hAnsi="Century Gothic"/>
          <w:b w:val="0"/>
          <w:i w:val="0"/>
          <w:smallCaps w:val="0"/>
          <w:strike w:val="0"/>
          <w:color w:val="000000"/>
          <w:sz w:val="18"/>
          <w:szCs w:val="18"/>
          <w:u w:val="none"/>
          <w:shd w:fill="auto" w:val="clear"/>
          <w:vertAlign w:val="baseline"/>
        </w:rPr>
      </w:pPr>
      <w:r w:rsidDel="00000000" w:rsidR="00000000" w:rsidRPr="00000000">
        <w:rPr>
          <w:rFonts w:ascii="Century Gothic" w:cs="Century Gothic" w:eastAsia="Century Gothic" w:hAnsi="Century Gothic"/>
          <w:b w:val="0"/>
          <w:i w:val="1"/>
          <w:smallCaps w:val="0"/>
          <w:strike w:val="0"/>
          <w:color w:val="000000"/>
          <w:sz w:val="18"/>
          <w:szCs w:val="18"/>
          <w:u w:val="none"/>
          <w:shd w:fill="auto" w:val="clear"/>
          <w:vertAlign w:val="baseline"/>
          <w:rtl w:val="0"/>
        </w:rPr>
        <w:t xml:space="preserve">a) O recebimento do presente recurso.</w:t>
        <w:br w:type="textWrapping"/>
        <w:br w:type="textWrapping"/>
        <w:t xml:space="preserve">b) A desclassificação da recorrida por apresentar produto de qualidade inferior, bem como deixar, nos casos omissos, deixou de comprovar o atendimento de características técnicas exigidas em edital.</w:t>
        <w:br w:type="textWrapping"/>
        <w:br w:type="textWrapping"/>
        <w:t xml:space="preserve">c) A desclassificação da recorrida por não, apresentar diversos documentos exigidos em edital, bem como por apresentar documentos vencidos,</w:t>
        <w:br w:type="textWrapping"/>
        <w:br w:type="textWrapping"/>
        <w:t xml:space="preserve">d) A convocação do 2º colocado, para querendo apresentar proposta e documentos de habilitação.</w:t>
        <w:br w:type="textWrapping"/>
      </w:r>
      <w:r w:rsidDel="00000000" w:rsidR="00000000" w:rsidRPr="00000000">
        <w:rPr>
          <w:rtl w:val="0"/>
        </w:rPr>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397" w:firstLine="0"/>
        <w:jc w:val="center"/>
        <w:rPr>
          <w:rFonts w:ascii="Century Gothic" w:cs="Century Gothic" w:eastAsia="Century Gothic" w:hAnsi="Century Gothic"/>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397" w:firstLine="0"/>
        <w:jc w:val="center"/>
        <w:rPr>
          <w:rFonts w:ascii="Century Gothic" w:cs="Century Gothic" w:eastAsia="Century Gothic" w:hAnsi="Century Gothic"/>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397" w:firstLine="0"/>
        <w:jc w:val="center"/>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1"/>
          <w:i w:val="0"/>
          <w:smallCaps w:val="0"/>
          <w:strike w:val="0"/>
          <w:color w:val="000000"/>
          <w:sz w:val="22"/>
          <w:szCs w:val="22"/>
          <w:u w:val="none"/>
          <w:shd w:fill="auto" w:val="clear"/>
          <w:vertAlign w:val="baseline"/>
          <w:rtl w:val="0"/>
        </w:rPr>
        <w:t xml:space="preserve">IV – DAS CONTRARRAZÕES</w:t>
      </w:r>
      <w:r w:rsidDel="00000000" w:rsidR="00000000" w:rsidRPr="00000000">
        <w:rPr>
          <w:rtl w:val="0"/>
        </w:rPr>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388" w:firstLine="0"/>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388" w:firstLine="0"/>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ab/>
        <w:t xml:space="preserve">Por sua vez, a empresa citada no recurso, </w:t>
      </w:r>
      <w:r w:rsidDel="00000000" w:rsidR="00000000" w:rsidRPr="00000000">
        <w:rPr>
          <w:rFonts w:ascii="Century Gothic" w:cs="Century Gothic" w:eastAsia="Century Gothic" w:hAnsi="Century Gothic"/>
          <w:b w:val="1"/>
          <w:i w:val="1"/>
          <w:smallCaps w:val="0"/>
          <w:strike w:val="0"/>
          <w:color w:val="000000"/>
          <w:sz w:val="22"/>
          <w:szCs w:val="22"/>
          <w:u w:val="none"/>
          <w:shd w:fill="auto" w:val="clear"/>
          <w:vertAlign w:val="baseline"/>
          <w:rtl w:val="0"/>
        </w:rPr>
        <w:t xml:space="preserve">N4 TECNOLOGIA SOLUÇÕES EM INFORMATICA LTDA</w:t>
      </w: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 limitou-se, em sua peça de defesa, na seguinte arguição:</w:t>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388" w:firstLine="0"/>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18" w:right="0" w:firstLine="0"/>
        <w:jc w:val="both"/>
        <w:rPr>
          <w:rFonts w:ascii="Century Gothic" w:cs="Century Gothic" w:eastAsia="Century Gothic" w:hAnsi="Century Gothic"/>
          <w:b w:val="0"/>
          <w:i w:val="0"/>
          <w:smallCaps w:val="0"/>
          <w:strike w:val="0"/>
          <w:color w:val="000000"/>
          <w:sz w:val="18"/>
          <w:szCs w:val="18"/>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000000"/>
          <w:sz w:val="18"/>
          <w:szCs w:val="18"/>
          <w:u w:val="none"/>
          <w:shd w:fill="auto" w:val="clear"/>
          <w:vertAlign w:val="baseline"/>
          <w:rtl w:val="0"/>
        </w:rPr>
        <w:t xml:space="preserve">“Conforme recurso de contrarrazão apresentado pela empresa CHT TELECOMUNICACOES EIRELI, inscrita no CNPJ/MF sob o nº 02.137.864/0001-85, Apresentamos as documentações, as quais se refere, em falta com a verdade, pressupondo que a empresa N4 TECNOLOGIA não está qualificada a fornecer equipamento já apresentados de acordo com TR anexadas em PROCESSO ELETRÔNICO Nº 0170.2022.CPL.PE.0093.MPPE.”</w:t>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2137" w:right="397" w:firstLine="0"/>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397" w:firstLine="0"/>
        <w:jc w:val="center"/>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1"/>
          <w:i w:val="0"/>
          <w:smallCaps w:val="0"/>
          <w:strike w:val="0"/>
          <w:color w:val="000000"/>
          <w:sz w:val="22"/>
          <w:szCs w:val="22"/>
          <w:u w:val="none"/>
          <w:shd w:fill="auto" w:val="clear"/>
          <w:vertAlign w:val="baseline"/>
          <w:rtl w:val="0"/>
        </w:rPr>
        <w:t xml:space="preserve">V - PRONUNCIAMENTO DO SETOR DEMANDANTE DA CONTRATAÇÃO</w:t>
      </w:r>
      <w:r w:rsidDel="00000000" w:rsidR="00000000" w:rsidRPr="00000000">
        <w:rPr>
          <w:rtl w:val="0"/>
        </w:rPr>
      </w:r>
    </w:p>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397" w:firstLine="0"/>
        <w:jc w:val="center"/>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Considerando, em maior peso, o caráter técnico das alegações, submetemos o Recurso à apreciação do Gerente Ministerial de Segurança de Áreas e Instalações, cujas considerações transcrevemos abaixo:</w:t>
      </w:r>
    </w:p>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entury Gothic" w:cs="Century Gothic" w:eastAsia="Century Gothic" w:hAnsi="Century Gothic"/>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entury Gothic" w:cs="Century Gothic" w:eastAsia="Century Gothic" w:hAnsi="Century Gothic"/>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43" w:right="-4" w:firstLine="7.000000000000028"/>
        <w:jc w:val="both"/>
        <w:rPr>
          <w:rFonts w:ascii="Century Gothic" w:cs="Century Gothic" w:eastAsia="Century Gothic" w:hAnsi="Century Gothic"/>
          <w:b w:val="0"/>
          <w:i w:val="1"/>
          <w:smallCaps w:val="0"/>
          <w:strike w:val="0"/>
          <w:color w:val="000000"/>
          <w:sz w:val="18"/>
          <w:szCs w:val="18"/>
          <w:u w:val="none"/>
          <w:shd w:fill="auto" w:val="clear"/>
          <w:vertAlign w:val="baseline"/>
        </w:rPr>
      </w:pPr>
      <w:r w:rsidDel="00000000" w:rsidR="00000000" w:rsidRPr="00000000">
        <w:rPr>
          <w:rFonts w:ascii="Century Gothic" w:cs="Century Gothic" w:eastAsia="Century Gothic" w:hAnsi="Century Gothic"/>
          <w:b w:val="0"/>
          <w:i w:val="1"/>
          <w:smallCaps w:val="0"/>
          <w:strike w:val="0"/>
          <w:color w:val="000000"/>
          <w:sz w:val="18"/>
          <w:szCs w:val="18"/>
          <w:u w:val="none"/>
          <w:shd w:fill="auto" w:val="clear"/>
          <w:vertAlign w:val="baseline"/>
          <w:rtl w:val="0"/>
        </w:rPr>
        <w:t xml:space="preserve">“Após análise do conteúdo do email enviado pela empresa CHT Telecomunicações EIRELI, verificamos que há coerência nos argumentos apresentados. </w:t>
      </w:r>
    </w:p>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43" w:right="-4" w:firstLine="7.000000000000028"/>
        <w:jc w:val="both"/>
        <w:rPr>
          <w:rFonts w:ascii="Century Gothic" w:cs="Century Gothic" w:eastAsia="Century Gothic" w:hAnsi="Century Gothic"/>
          <w:b w:val="0"/>
          <w:i w:val="0"/>
          <w:smallCaps w:val="0"/>
          <w:strike w:val="0"/>
          <w:color w:val="000000"/>
          <w:sz w:val="18"/>
          <w:szCs w:val="18"/>
          <w:u w:val="none"/>
          <w:shd w:fill="auto" w:val="clear"/>
          <w:vertAlign w:val="baseline"/>
        </w:rPr>
      </w:pPr>
      <w:r w:rsidDel="00000000" w:rsidR="00000000" w:rsidRPr="00000000">
        <w:rPr>
          <w:rFonts w:ascii="Century Gothic" w:cs="Century Gothic" w:eastAsia="Century Gothic" w:hAnsi="Century Gothic"/>
          <w:b w:val="0"/>
          <w:i w:val="1"/>
          <w:smallCaps w:val="0"/>
          <w:strike w:val="0"/>
          <w:color w:val="000000"/>
          <w:sz w:val="18"/>
          <w:szCs w:val="18"/>
          <w:u w:val="none"/>
          <w:shd w:fill="auto" w:val="clear"/>
          <w:vertAlign w:val="baseline"/>
          <w:rtl w:val="0"/>
        </w:rPr>
        <w:t xml:space="preserve">Desta forma, recomendo a adoção das providências cabíveis, ao tempo em que solicito que desconsidere o email remetido anteriormente por este signatário, no tocante à aprovação do objeto demonstrado pela empresa N4 Tecnologia Soluções em Informática LTDA.”</w:t>
      </w:r>
      <w:r w:rsidDel="00000000" w:rsidR="00000000" w:rsidRPr="00000000">
        <w:rPr>
          <w:rtl w:val="0"/>
        </w:rPr>
      </w:r>
    </w:p>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397" w:firstLine="0"/>
        <w:jc w:val="left"/>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397" w:firstLine="0"/>
        <w:jc w:val="center"/>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397" w:firstLine="0"/>
        <w:jc w:val="center"/>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1"/>
          <w:i w:val="0"/>
          <w:smallCaps w:val="0"/>
          <w:strike w:val="0"/>
          <w:color w:val="000000"/>
          <w:sz w:val="22"/>
          <w:szCs w:val="22"/>
          <w:u w:val="none"/>
          <w:shd w:fill="auto" w:val="clear"/>
          <w:vertAlign w:val="baseline"/>
          <w:rtl w:val="0"/>
        </w:rPr>
        <w:t xml:space="preserve">VI - DA ANÁLISE DA PREGOEIRA</w:t>
      </w:r>
      <w:r w:rsidDel="00000000" w:rsidR="00000000" w:rsidRPr="00000000">
        <w:rPr>
          <w:rtl w:val="0"/>
        </w:rPr>
      </w:r>
    </w:p>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1" w:right="85" w:firstLine="1407"/>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1" w:right="85" w:firstLine="1407"/>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Em análise do pedido da recorrente em reformar a decisão que declarou vencedora do certame a empresa </w:t>
      </w:r>
      <w:r w:rsidDel="00000000" w:rsidR="00000000" w:rsidRPr="00000000">
        <w:rPr>
          <w:rFonts w:ascii="Century Gothic" w:cs="Century Gothic" w:eastAsia="Century Gothic" w:hAnsi="Century Gothic"/>
          <w:b w:val="1"/>
          <w:i w:val="1"/>
          <w:smallCaps w:val="0"/>
          <w:strike w:val="0"/>
          <w:color w:val="000000"/>
          <w:sz w:val="22"/>
          <w:szCs w:val="22"/>
          <w:u w:val="none"/>
          <w:shd w:fill="auto" w:val="clear"/>
          <w:vertAlign w:val="baseline"/>
          <w:rtl w:val="0"/>
        </w:rPr>
        <w:t xml:space="preserve">N4 TECNOLOGIA SOLUÇÕES EM INFORMATICA LTDA</w:t>
      </w: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 vislumbra-se que este merece prosperar, como bem se posicionou o setor demandante, Gerente Ministerial de Segurança de Áreas e Instalações.</w:t>
      </w:r>
    </w:p>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1" w:right="85" w:firstLine="1407"/>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No que diz respeito ao ponto do recurso em que a recorrente menciona vários documentos de habilitação constando como ausentes, cumpre ressaltar que certamente houve um lapso por parte da impetrante do recurso, uma vez que todos os documentos de habilitação ali apontados foram enviados e  rigorosamente analisados pela equipe de apoio da Comissão de Licitação e achados em conformidade com o exigido em edital.</w:t>
      </w:r>
    </w:p>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1" w:right="85" w:firstLine="1407"/>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Dessa forma, a decisão em reformar a decisão que declarou vencedora do certame a empresa </w:t>
      </w:r>
      <w:r w:rsidDel="00000000" w:rsidR="00000000" w:rsidRPr="00000000">
        <w:rPr>
          <w:rFonts w:ascii="Century Gothic" w:cs="Century Gothic" w:eastAsia="Century Gothic" w:hAnsi="Century Gothic"/>
          <w:b w:val="1"/>
          <w:i w:val="1"/>
          <w:smallCaps w:val="0"/>
          <w:strike w:val="0"/>
          <w:color w:val="000000"/>
          <w:sz w:val="22"/>
          <w:szCs w:val="22"/>
          <w:u w:val="none"/>
          <w:shd w:fill="auto" w:val="clear"/>
          <w:vertAlign w:val="baseline"/>
          <w:rtl w:val="0"/>
        </w:rPr>
        <w:t xml:space="preserve">N4 TECNOLOGIA SOLUÇÕES EM INFORMATICA LTDA </w:t>
      </w: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pauta-se única e exclusivamente </w:t>
      </w:r>
      <w:r w:rsidDel="00000000" w:rsidR="00000000" w:rsidRPr="00000000">
        <w:rPr>
          <w:rFonts w:ascii="Century Gothic" w:cs="Century Gothic" w:eastAsia="Century Gothic" w:hAnsi="Century Gothic"/>
          <w:sz w:val="22"/>
          <w:szCs w:val="22"/>
          <w:rtl w:val="0"/>
        </w:rPr>
        <w:t xml:space="preserve">ao</w:t>
      </w: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 não atendimento dos </w:t>
      </w:r>
      <w:r w:rsidDel="00000000" w:rsidR="00000000" w:rsidRPr="00000000">
        <w:rPr>
          <w:rFonts w:ascii="Century Gothic" w:cs="Century Gothic" w:eastAsia="Century Gothic" w:hAnsi="Century Gothic"/>
          <w:b w:val="1"/>
          <w:i w:val="0"/>
          <w:smallCaps w:val="0"/>
          <w:strike w:val="0"/>
          <w:color w:val="000000"/>
          <w:sz w:val="22"/>
          <w:szCs w:val="22"/>
          <w:u w:val="none"/>
          <w:shd w:fill="auto" w:val="clear"/>
          <w:vertAlign w:val="baseline"/>
          <w:rtl w:val="0"/>
        </w:rPr>
        <w:t xml:space="preserve">aspectos técnicos da proposta</w:t>
      </w: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 enviada pela recorrida, cuja responsabilidade de verificação fica a cargo do setor demandante.</w:t>
      </w:r>
    </w:p>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46" w:firstLine="13"/>
        <w:jc w:val="center"/>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46" w:firstLine="13"/>
        <w:jc w:val="center"/>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1"/>
          <w:i w:val="0"/>
          <w:smallCaps w:val="0"/>
          <w:strike w:val="0"/>
          <w:color w:val="000000"/>
          <w:sz w:val="22"/>
          <w:szCs w:val="22"/>
          <w:u w:val="none"/>
          <w:shd w:fill="auto" w:val="clear"/>
          <w:vertAlign w:val="baseline"/>
          <w:rtl w:val="0"/>
        </w:rPr>
        <w:t xml:space="preserve">VII - DA CONCLUSÃO</w:t>
      </w:r>
      <w:r w:rsidDel="00000000" w:rsidR="00000000" w:rsidRPr="00000000">
        <w:rPr>
          <w:rtl w:val="0"/>
        </w:rPr>
      </w:r>
    </w:p>
    <w:p w:rsidR="00000000" w:rsidDel="00000000" w:rsidP="00000000" w:rsidRDefault="00000000" w:rsidRPr="00000000" w14:paraId="000000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46" w:firstLine="13"/>
        <w:jc w:val="center"/>
        <w:rPr>
          <w:rFonts w:ascii="Century Gothic" w:cs="Century Gothic" w:eastAsia="Century Gothic" w:hAnsi="Century Gothic"/>
          <w:b w:val="0"/>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1" w:right="85" w:firstLine="1407"/>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Sendo assim, conheço do Recurso Administrativo interposto pela empresa </w:t>
      </w:r>
      <w:r w:rsidDel="00000000" w:rsidR="00000000" w:rsidRPr="00000000">
        <w:rPr>
          <w:rFonts w:ascii="Century Gothic" w:cs="Century Gothic" w:eastAsia="Century Gothic" w:hAnsi="Century Gothic"/>
          <w:b w:val="1"/>
          <w:i w:val="0"/>
          <w:smallCaps w:val="0"/>
          <w:strike w:val="0"/>
          <w:color w:val="000000"/>
          <w:sz w:val="22"/>
          <w:szCs w:val="22"/>
          <w:u w:val="none"/>
          <w:shd w:fill="auto" w:val="clear"/>
          <w:vertAlign w:val="baseline"/>
          <w:rtl w:val="0"/>
        </w:rPr>
        <w:t xml:space="preserve">CHT TELECOMUNICACOES EIRELI</w:t>
      </w: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 pelo que submetemos o assunto à consideração da autoridade competente, com fulcro no art.11, inciso VII do Decreto 5.450/2005, sugerindo reformar a decisão que declarou vencedora do certame a empresa </w:t>
      </w:r>
      <w:r w:rsidDel="00000000" w:rsidR="00000000" w:rsidRPr="00000000">
        <w:rPr>
          <w:rFonts w:ascii="Century Gothic" w:cs="Century Gothic" w:eastAsia="Century Gothic" w:hAnsi="Century Gothic"/>
          <w:b w:val="1"/>
          <w:i w:val="1"/>
          <w:smallCaps w:val="0"/>
          <w:strike w:val="0"/>
          <w:color w:val="000000"/>
          <w:sz w:val="22"/>
          <w:szCs w:val="22"/>
          <w:u w:val="none"/>
          <w:shd w:fill="auto" w:val="clear"/>
          <w:vertAlign w:val="baseline"/>
          <w:rtl w:val="0"/>
        </w:rPr>
        <w:t xml:space="preserve">N4 TECNOLOGIA SOLUÇÕES EM INFORMATICA LTDA </w:t>
      </w: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e em ato contínuo convocar a próxima colocada na ordem de colocação do certame</w:t>
      </w:r>
      <w:r w:rsidDel="00000000" w:rsidR="00000000" w:rsidRPr="00000000">
        <w:rPr>
          <w:rFonts w:ascii="Century Gothic" w:cs="Century Gothic" w:eastAsia="Century Gothic" w:hAnsi="Century Gothic"/>
          <w:b w:val="0"/>
          <w:i w:val="0"/>
          <w:smallCaps w:val="0"/>
          <w:strike w:val="0"/>
          <w:color w:val="000000"/>
          <w:sz w:val="18"/>
          <w:szCs w:val="18"/>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1" w:right="85" w:firstLine="1407"/>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27" w:right="0" w:firstLine="1391"/>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É a conclusão. Encaminhem-se os Autos ao Exmo. Subprocurador Geral de Justiça em Assuntos Administrativos para apreciação e decisão final.</w:t>
      </w:r>
    </w:p>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360" w:right="84" w:firstLine="0"/>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ab/>
        <w:t xml:space="preserve"> </w:t>
      </w:r>
    </w:p>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1"/>
          <w:i w:val="0"/>
          <w:smallCaps w:val="0"/>
          <w:strike w:val="0"/>
          <w:color w:val="000000"/>
          <w:sz w:val="22"/>
          <w:szCs w:val="22"/>
          <w:u w:val="none"/>
          <w:shd w:fill="auto" w:val="clear"/>
          <w:vertAlign w:val="baseline"/>
          <w:rtl w:val="0"/>
        </w:rPr>
        <w:t xml:space="preserve">Recife, </w:t>
      </w:r>
      <w:r w:rsidDel="00000000" w:rsidR="00000000" w:rsidRPr="00000000">
        <w:rPr>
          <w:rFonts w:ascii="Century Gothic" w:cs="Century Gothic" w:eastAsia="Century Gothic" w:hAnsi="Century Gothic"/>
          <w:b w:val="1"/>
          <w:sz w:val="22"/>
          <w:szCs w:val="22"/>
          <w:rtl w:val="0"/>
        </w:rPr>
        <w:t xml:space="preserve">20</w:t>
      </w:r>
      <w:r w:rsidDel="00000000" w:rsidR="00000000" w:rsidRPr="00000000">
        <w:rPr>
          <w:rFonts w:ascii="Century Gothic" w:cs="Century Gothic" w:eastAsia="Century Gothic" w:hAnsi="Century Gothic"/>
          <w:b w:val="1"/>
          <w:i w:val="0"/>
          <w:smallCaps w:val="0"/>
          <w:strike w:val="0"/>
          <w:color w:val="000000"/>
          <w:sz w:val="22"/>
          <w:szCs w:val="22"/>
          <w:u w:val="none"/>
          <w:shd w:fill="auto" w:val="clear"/>
          <w:vertAlign w:val="baseline"/>
          <w:rtl w:val="0"/>
        </w:rPr>
        <w:t xml:space="preserve"> de outubro de 2022.</w:t>
      </w:r>
      <w:r w:rsidDel="00000000" w:rsidR="00000000" w:rsidRPr="00000000">
        <w:rPr>
          <w:rtl w:val="0"/>
        </w:rPr>
      </w:r>
    </w:p>
    <w:p w:rsidR="00000000" w:rsidDel="00000000" w:rsidP="00000000" w:rsidRDefault="00000000" w:rsidRPr="00000000" w14:paraId="000000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1"/>
          <w:i w:val="0"/>
          <w:smallCaps w:val="0"/>
          <w:strike w:val="0"/>
          <w:color w:val="000000"/>
          <w:sz w:val="22"/>
          <w:szCs w:val="22"/>
          <w:u w:val="none"/>
          <w:shd w:fill="auto" w:val="clear"/>
          <w:vertAlign w:val="baseline"/>
          <w:rtl w:val="0"/>
        </w:rPr>
        <w:t xml:space="preserve">Onélia Carvalho de O. Holanda</w:t>
      </w:r>
      <w:r w:rsidDel="00000000" w:rsidR="00000000" w:rsidRPr="00000000">
        <w:rPr>
          <w:rtl w:val="0"/>
        </w:rPr>
      </w:r>
    </w:p>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Pregoeira</w:t>
      </w:r>
    </w:p>
    <w:p w:rsidR="00000000" w:rsidDel="00000000" w:rsidP="00000000" w:rsidRDefault="00000000" w:rsidRPr="00000000" w14:paraId="0000004C">
      <w:pPr>
        <w:keepNext w:val="1"/>
        <w:keepLines w:val="0"/>
        <w:pageBreakBefore w:val="0"/>
        <w:widowControl w:val="1"/>
        <w:numPr>
          <w:ilvl w:val="1"/>
          <w:numId w:val="1"/>
        </w:numPr>
        <w:pBdr>
          <w:top w:space="0" w:sz="0" w:val="nil"/>
          <w:left w:space="0" w:sz="0" w:val="nil"/>
          <w:bottom w:space="0" w:sz="0" w:val="nil"/>
          <w:right w:space="0" w:sz="0" w:val="nil"/>
          <w:between w:space="0" w:sz="0" w:val="nil"/>
        </w:pBdr>
        <w:shd w:fill="auto" w:val="clear"/>
        <w:tabs>
          <w:tab w:val="left" w:pos="0"/>
        </w:tabs>
        <w:spacing w:after="0" w:before="0" w:line="276" w:lineRule="auto"/>
        <w:ind w:left="0" w:right="0" w:firstLine="0"/>
        <w:jc w:val="center"/>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br w:type="page"/>
      </w:r>
      <w:r w:rsidDel="00000000" w:rsidR="00000000" w:rsidRPr="00000000">
        <w:rPr>
          <w:rFonts w:ascii="Century Gothic" w:cs="Century Gothic" w:eastAsia="Century Gothic" w:hAnsi="Century Gothic"/>
          <w:b w:val="1"/>
          <w:i w:val="0"/>
          <w:smallCaps w:val="0"/>
          <w:strike w:val="0"/>
          <w:color w:val="000000"/>
          <w:sz w:val="22"/>
          <w:szCs w:val="22"/>
          <w:u w:val="none"/>
          <w:shd w:fill="auto" w:val="clear"/>
          <w:vertAlign w:val="baseline"/>
          <w:rtl w:val="0"/>
        </w:rPr>
        <w:t xml:space="preserve">JULGAMENTO DE RECURSO ADMINISTRATIVO </w:t>
      </w:r>
      <w:r w:rsidDel="00000000" w:rsidR="00000000" w:rsidRPr="00000000">
        <w:rPr>
          <w:rtl w:val="0"/>
        </w:rPr>
      </w:r>
    </w:p>
    <w:p w:rsidR="00000000" w:rsidDel="00000000" w:rsidP="00000000" w:rsidRDefault="00000000" w:rsidRPr="00000000" w14:paraId="0000004D">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0"/>
        </w:tabs>
        <w:spacing w:after="0" w:before="0" w:line="276" w:lineRule="auto"/>
        <w:ind w:left="0" w:right="0" w:firstLine="0"/>
        <w:jc w:val="center"/>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1"/>
          <w:i w:val="0"/>
          <w:smallCaps w:val="0"/>
          <w:strike w:val="0"/>
          <w:color w:val="000000"/>
          <w:sz w:val="22"/>
          <w:szCs w:val="22"/>
          <w:u w:val="none"/>
          <w:shd w:fill="auto" w:val="clear"/>
          <w:vertAlign w:val="baseline"/>
          <w:rtl w:val="0"/>
        </w:rPr>
        <w:t xml:space="preserve">PROCESSO ELETRÔNICO Nº 0170.2022.CPL.PE.0093.MPPE</w:t>
      </w:r>
      <w:r w:rsidDel="00000000" w:rsidR="00000000" w:rsidRPr="00000000">
        <w:rPr>
          <w:rtl w:val="0"/>
        </w:rPr>
      </w:r>
    </w:p>
    <w:p w:rsidR="00000000" w:rsidDel="00000000" w:rsidP="00000000" w:rsidRDefault="00000000" w:rsidRPr="00000000" w14:paraId="0000004E">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0"/>
        </w:tabs>
        <w:spacing w:after="0" w:before="0" w:line="276" w:lineRule="auto"/>
        <w:ind w:left="0" w:right="0" w:firstLine="0"/>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0"/>
        </w:tabs>
        <w:spacing w:after="0" w:before="0" w:line="276" w:lineRule="auto"/>
        <w:ind w:left="0" w:right="0" w:firstLine="0"/>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0"/>
        </w:tabs>
        <w:spacing w:after="0" w:before="0" w:line="276" w:lineRule="auto"/>
        <w:ind w:left="0" w:right="0" w:firstLine="0"/>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1">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0"/>
        </w:tabs>
        <w:spacing w:after="0" w:before="0" w:line="276" w:lineRule="auto"/>
        <w:ind w:left="0" w:right="0" w:firstLine="0"/>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1"/>
          <w:i w:val="0"/>
          <w:smallCaps w:val="0"/>
          <w:strike w:val="0"/>
          <w:color w:val="000000"/>
          <w:sz w:val="22"/>
          <w:szCs w:val="22"/>
          <w:u w:val="none"/>
          <w:shd w:fill="auto" w:val="clear"/>
          <w:vertAlign w:val="baseline"/>
          <w:rtl w:val="0"/>
        </w:rPr>
        <w:t xml:space="preserve">OBJETO: Locação de Equipamentos de Radiocomunicação</w:t>
      </w: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052">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0"/>
        </w:tabs>
        <w:spacing w:after="0" w:before="0" w:line="276" w:lineRule="auto"/>
        <w:ind w:left="0" w:right="0" w:firstLine="0"/>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3">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0"/>
        </w:tabs>
        <w:spacing w:after="0" w:before="0" w:line="276" w:lineRule="auto"/>
        <w:ind w:left="0" w:right="0" w:firstLine="0"/>
        <w:jc w:val="left"/>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1"/>
          <w:i w:val="0"/>
          <w:smallCaps w:val="0"/>
          <w:strike w:val="0"/>
          <w:color w:val="000000"/>
          <w:sz w:val="22"/>
          <w:szCs w:val="22"/>
          <w:u w:val="none"/>
          <w:shd w:fill="auto" w:val="clear"/>
          <w:vertAlign w:val="baseline"/>
          <w:rtl w:val="0"/>
        </w:rPr>
        <w:t xml:space="preserve">RECORRENTE:</w:t>
      </w: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 CHT TELECOMUNICACOES EIRELI</w:t>
      </w:r>
    </w:p>
    <w:p w:rsidR="00000000" w:rsidDel="00000000" w:rsidP="00000000" w:rsidRDefault="00000000" w:rsidRPr="00000000" w14:paraId="0000005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0"/>
        </w:tabs>
        <w:spacing w:after="0" w:before="0" w:line="276" w:lineRule="auto"/>
        <w:ind w:left="0" w:right="0" w:firstLine="0"/>
        <w:jc w:val="left"/>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1"/>
          <w:i w:val="0"/>
          <w:smallCaps w:val="0"/>
          <w:strike w:val="0"/>
          <w:color w:val="000000"/>
          <w:sz w:val="22"/>
          <w:szCs w:val="22"/>
          <w:u w:val="none"/>
          <w:shd w:fill="auto" w:val="clear"/>
          <w:vertAlign w:val="baseline"/>
          <w:rtl w:val="0"/>
        </w:rPr>
        <w:t xml:space="preserve">RECORRIDA:</w:t>
      </w: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 N4 TECNOLOGIA SOLUÇÕES EM INFORMATICA LTDA</w:t>
      </w:r>
    </w:p>
    <w:p w:rsidR="00000000" w:rsidDel="00000000" w:rsidP="00000000" w:rsidRDefault="00000000" w:rsidRPr="00000000" w14:paraId="0000005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0"/>
        </w:tabs>
        <w:spacing w:after="0" w:before="0" w:line="276" w:lineRule="auto"/>
        <w:ind w:left="0" w:right="0" w:firstLine="0"/>
        <w:jc w:val="left"/>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1"/>
          <w:i w:val="0"/>
          <w:smallCaps w:val="0"/>
          <w:strike w:val="0"/>
          <w:color w:val="000000"/>
          <w:sz w:val="22"/>
          <w:szCs w:val="22"/>
          <w:u w:val="none"/>
          <w:shd w:fill="auto" w:val="clear"/>
          <w:vertAlign w:val="baseline"/>
          <w:rtl w:val="0"/>
        </w:rPr>
        <w:t xml:space="preserve">TERMO: </w:t>
      </w: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Decisório</w:t>
        <w:tab/>
      </w:r>
    </w:p>
    <w:p w:rsidR="00000000" w:rsidDel="00000000" w:rsidP="00000000" w:rsidRDefault="00000000" w:rsidRPr="00000000" w14:paraId="0000005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3686"/>
        </w:tabs>
        <w:spacing w:after="0" w:before="0" w:line="276" w:lineRule="auto"/>
        <w:ind w:left="0" w:right="0" w:firstLine="0"/>
        <w:jc w:val="both"/>
        <w:rPr>
          <w:rFonts w:ascii="Century Gothic" w:cs="Century Gothic" w:eastAsia="Century Gothic" w:hAnsi="Century Gothic"/>
          <w:b w:val="0"/>
          <w:i w:val="1"/>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1"/>
          <w:i w:val="0"/>
          <w:smallCaps w:val="0"/>
          <w:strike w:val="0"/>
          <w:color w:val="000000"/>
          <w:sz w:val="22"/>
          <w:szCs w:val="22"/>
          <w:u w:val="none"/>
          <w:shd w:fill="auto" w:val="clear"/>
          <w:vertAlign w:val="baseline"/>
          <w:rtl w:val="0"/>
        </w:rPr>
        <w:t xml:space="preserve">RAZÕES</w:t>
      </w: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 </w:t>
      </w:r>
      <w:r w:rsidDel="00000000" w:rsidR="00000000" w:rsidRPr="00000000">
        <w:rPr>
          <w:rFonts w:ascii="Century Gothic" w:cs="Century Gothic" w:eastAsia="Century Gothic" w:hAnsi="Century Gothic"/>
          <w:b w:val="0"/>
          <w:i w:val="1"/>
          <w:smallCaps w:val="0"/>
          <w:strike w:val="0"/>
          <w:color w:val="000000"/>
          <w:sz w:val="22"/>
          <w:szCs w:val="22"/>
          <w:u w:val="none"/>
          <w:shd w:fill="auto" w:val="clear"/>
          <w:vertAlign w:val="baseline"/>
          <w:rtl w:val="0"/>
        </w:rPr>
        <w:t xml:space="preserve">IRRESIGNAÇÃO CONTRA A DECISÃO QUE DECLAROU VENCEDORA DO CERTAME A EMPRESA </w:t>
      </w:r>
      <w:r w:rsidDel="00000000" w:rsidR="00000000" w:rsidRPr="00000000">
        <w:rPr>
          <w:rFonts w:ascii="Century Gothic" w:cs="Century Gothic" w:eastAsia="Century Gothic" w:hAnsi="Century Gothic"/>
          <w:b w:val="1"/>
          <w:i w:val="1"/>
          <w:smallCaps w:val="0"/>
          <w:strike w:val="0"/>
          <w:color w:val="000000"/>
          <w:sz w:val="22"/>
          <w:szCs w:val="22"/>
          <w:u w:val="none"/>
          <w:shd w:fill="auto" w:val="clear"/>
          <w:vertAlign w:val="baseline"/>
          <w:rtl w:val="0"/>
        </w:rPr>
        <w:t xml:space="preserve">N4 TECNOLOGIA SOLUÇÕES EM INFORMATICA LTDA</w:t>
      </w:r>
      <w:r w:rsidDel="00000000" w:rsidR="00000000" w:rsidRPr="00000000">
        <w:rPr>
          <w:rtl w:val="0"/>
        </w:rPr>
      </w:r>
    </w:p>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1" w:right="85" w:firstLine="1407"/>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Em face das informações constantes dos autos e das ponderações expedidas pela Pregoeira e o setor demandante, e em conformidade com o artigo 4º, inciso XVIII da lei nº 10.520/2002 conheço das Razões Recursais, julgando-as PROCEDENTES, reformando a decisão que declarou vencedora do certame a empresa </w:t>
      </w:r>
      <w:r w:rsidDel="00000000" w:rsidR="00000000" w:rsidRPr="00000000">
        <w:rPr>
          <w:rFonts w:ascii="Century Gothic" w:cs="Century Gothic" w:eastAsia="Century Gothic" w:hAnsi="Century Gothic"/>
          <w:b w:val="1"/>
          <w:i w:val="1"/>
          <w:smallCaps w:val="0"/>
          <w:strike w:val="0"/>
          <w:color w:val="000000"/>
          <w:sz w:val="22"/>
          <w:szCs w:val="22"/>
          <w:u w:val="none"/>
          <w:shd w:fill="auto" w:val="clear"/>
          <w:vertAlign w:val="baseline"/>
          <w:rtl w:val="0"/>
        </w:rPr>
        <w:t xml:space="preserve">N4 TECNOLOGIA SOLUÇÕES EM INFORMATICA LTDA</w:t>
      </w:r>
      <w:r w:rsidDel="00000000" w:rsidR="00000000" w:rsidRPr="00000000">
        <w:rPr>
          <w:rFonts w:ascii="Century Gothic" w:cs="Century Gothic" w:eastAsia="Century Gothic" w:hAnsi="Century Gothic"/>
          <w:b w:val="1"/>
          <w:i w:val="0"/>
          <w:smallCaps w:val="0"/>
          <w:strike w:val="0"/>
          <w:color w:val="000000"/>
          <w:sz w:val="22"/>
          <w:szCs w:val="22"/>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5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1" w:right="85" w:firstLine="1407"/>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Determino ainda, que seja comunicada a decisão à Recorrente, Recorrida e demais participantes.</w:t>
      </w:r>
    </w:p>
    <w:p w:rsidR="00000000" w:rsidDel="00000000" w:rsidP="00000000" w:rsidRDefault="00000000" w:rsidRPr="00000000" w14:paraId="000000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1"/>
          <w:i w:val="0"/>
          <w:smallCaps w:val="0"/>
          <w:strike w:val="0"/>
          <w:color w:val="000000"/>
          <w:sz w:val="22"/>
          <w:szCs w:val="22"/>
          <w:u w:val="none"/>
          <w:shd w:fill="auto" w:val="clear"/>
          <w:vertAlign w:val="baseline"/>
          <w:rtl w:val="0"/>
        </w:rPr>
        <w:t xml:space="preserve">Recife, </w:t>
      </w:r>
      <w:r w:rsidDel="00000000" w:rsidR="00000000" w:rsidRPr="00000000">
        <w:rPr>
          <w:rFonts w:ascii="Century Gothic" w:cs="Century Gothic" w:eastAsia="Century Gothic" w:hAnsi="Century Gothic"/>
          <w:b w:val="1"/>
          <w:sz w:val="22"/>
          <w:szCs w:val="22"/>
          <w:rtl w:val="0"/>
        </w:rPr>
        <w:t xml:space="preserve">20</w:t>
      </w:r>
      <w:r w:rsidDel="00000000" w:rsidR="00000000" w:rsidRPr="00000000">
        <w:rPr>
          <w:rFonts w:ascii="Century Gothic" w:cs="Century Gothic" w:eastAsia="Century Gothic" w:hAnsi="Century Gothic"/>
          <w:b w:val="1"/>
          <w:i w:val="0"/>
          <w:smallCaps w:val="0"/>
          <w:strike w:val="0"/>
          <w:color w:val="000000"/>
          <w:sz w:val="22"/>
          <w:szCs w:val="22"/>
          <w:u w:val="none"/>
          <w:shd w:fill="auto" w:val="clear"/>
          <w:vertAlign w:val="baseline"/>
          <w:rtl w:val="0"/>
        </w:rPr>
        <w:t xml:space="preserve"> de outubro de 2022</w:t>
      </w:r>
      <w:r w:rsidDel="00000000" w:rsidR="00000000" w:rsidRPr="00000000">
        <w:rPr>
          <w:rtl w:val="0"/>
        </w:rPr>
      </w:r>
    </w:p>
    <w:p w:rsidR="00000000" w:rsidDel="00000000" w:rsidP="00000000" w:rsidRDefault="00000000" w:rsidRPr="00000000" w14:paraId="0000005E">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6210"/>
        </w:tabs>
        <w:spacing w:after="0" w:before="0" w:line="276" w:lineRule="auto"/>
        <w:ind w:left="0" w:right="0" w:firstLine="0"/>
        <w:jc w:val="center"/>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F">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6210"/>
        </w:tabs>
        <w:spacing w:after="0" w:before="0" w:line="276" w:lineRule="auto"/>
        <w:ind w:left="0" w:right="0" w:firstLine="0"/>
        <w:jc w:val="center"/>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1"/>
          <w:i w:val="0"/>
          <w:smallCaps w:val="0"/>
          <w:strike w:val="0"/>
          <w:color w:val="000000"/>
          <w:sz w:val="22"/>
          <w:szCs w:val="22"/>
          <w:u w:val="none"/>
          <w:shd w:fill="auto" w:val="clear"/>
          <w:vertAlign w:val="baseline"/>
          <w:rtl w:val="0"/>
        </w:rPr>
        <w:t xml:space="preserve">Valdir Barbosa Júnior</w:t>
      </w:r>
      <w:r w:rsidDel="00000000" w:rsidR="00000000" w:rsidRPr="00000000">
        <w:rPr>
          <w:rtl w:val="0"/>
        </w:rPr>
      </w:r>
    </w:p>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Procurador de Justiça</w:t>
      </w:r>
    </w:p>
    <w:p w:rsidR="00000000" w:rsidDel="00000000" w:rsidP="00000000" w:rsidRDefault="00000000" w:rsidRPr="00000000" w14:paraId="0000006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000000"/>
          <w:sz w:val="22"/>
          <w:szCs w:val="22"/>
          <w:u w:val="none"/>
          <w:shd w:fill="auto" w:val="clear"/>
          <w:vertAlign w:val="baseline"/>
          <w:rtl w:val="0"/>
        </w:rPr>
        <w:t xml:space="preserve">Subprocurador Geral de Justiça em Assuntos Administrativos</w:t>
      </w:r>
    </w:p>
    <w:p w:rsidR="00000000" w:rsidDel="00000000" w:rsidP="00000000" w:rsidRDefault="00000000" w:rsidRPr="00000000" w14:paraId="00000063">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6210"/>
        </w:tabs>
        <w:spacing w:after="0" w:before="0" w:line="276" w:lineRule="auto"/>
        <w:ind w:left="0" w:right="0" w:firstLine="0"/>
        <w:jc w:val="center"/>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6210"/>
        </w:tabs>
        <w:spacing w:after="0" w:before="0" w:line="276" w:lineRule="auto"/>
        <w:ind w:left="0" w:right="0" w:firstLine="0"/>
        <w:jc w:val="center"/>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6210"/>
        </w:tabs>
        <w:spacing w:after="0" w:before="0" w:line="276" w:lineRule="auto"/>
        <w:ind w:left="0" w:right="0" w:firstLine="0"/>
        <w:jc w:val="center"/>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6210"/>
        </w:tabs>
        <w:spacing w:after="0" w:before="0" w:line="276" w:lineRule="auto"/>
        <w:ind w:left="0" w:right="0" w:firstLine="0"/>
        <w:jc w:val="center"/>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sectPr>
      <w:headerReference r:id="rId7" w:type="default"/>
      <w:headerReference r:id="rId8" w:type="first"/>
      <w:headerReference r:id="rId9" w:type="even"/>
      <w:footerReference r:id="rId10" w:type="default"/>
      <w:footerReference r:id="rId11" w:type="first"/>
      <w:footerReference r:id="rId12" w:type="even"/>
      <w:pgSz w:h="16838" w:w="11906" w:orient="portrait"/>
      <w:pgMar w:bottom="993" w:top="898" w:left="1276" w:right="753" w:header="284" w:foot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 w:name="Georgia"/>
  <w:font w:name="Bookman Old Style"/>
  <w:font w:name="Spranq eco sans"/>
  <w:font w:name="Century Gothic">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252"/>
        <w:tab w:val="right" w:pos="8504"/>
      </w:tabs>
      <w:spacing w:after="0" w:before="0" w:line="240" w:lineRule="auto"/>
      <w:ind w:left="0" w:right="0" w:hanging="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252"/>
        <w:tab w:val="right" w:pos="8504"/>
      </w:tabs>
      <w:spacing w:after="0" w:before="0" w:line="240" w:lineRule="auto"/>
      <w:ind w:left="0" w:right="0" w:hanging="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2835"/>
        <w:tab w:val="left" w:pos="3686"/>
      </w:tabs>
      <w:spacing w:after="0" w:before="0" w:line="240" w:lineRule="auto"/>
      <w:ind w:left="0" w:right="0" w:firstLine="0"/>
      <w:jc w:val="both"/>
      <w:rPr>
        <w:rFonts w:ascii="Century Gothic" w:cs="Century Gothic" w:eastAsia="Century Gothic" w:hAnsi="Century Gothic"/>
        <w:b w:val="0"/>
        <w:i w:val="0"/>
        <w:smallCaps w:val="0"/>
        <w:strike w:val="0"/>
        <w:color w:val="000000"/>
        <w:sz w:val="16"/>
        <w:szCs w:val="16"/>
        <w:u w:val="none"/>
        <w:shd w:fill="auto" w:val="clear"/>
        <w:vertAlign w:val="baseline"/>
      </w:rPr>
    </w:pPr>
    <w:r w:rsidDel="00000000" w:rsidR="00000000" w:rsidRPr="00000000">
      <w:rPr>
        <w:rFonts w:ascii="Century Gothic" w:cs="Century Gothic" w:eastAsia="Century Gothic" w:hAnsi="Century Gothic"/>
        <w:b w:val="1"/>
        <w:i w:val="0"/>
        <w:smallCaps w:val="0"/>
        <w:strike w:val="0"/>
        <w:color w:val="000000"/>
        <w:sz w:val="16"/>
        <w:szCs w:val="16"/>
        <w:u w:val="none"/>
        <w:shd w:fill="auto" w:val="clear"/>
        <w:vertAlign w:val="baseline"/>
        <w:rtl w:val="0"/>
      </w:rPr>
      <w:t xml:space="preserve">PROCESSO ELETRÔNICO</w:t>
    </w:r>
    <w:r w:rsidDel="00000000" w:rsidR="00000000" w:rsidRPr="00000000">
      <w:rPr>
        <w:rFonts w:ascii="Century Gothic" w:cs="Century Gothic" w:eastAsia="Century Gothic" w:hAnsi="Century Gothic"/>
        <w:b w:val="0"/>
        <w:i w:val="0"/>
        <w:smallCaps w:val="0"/>
        <w:strike w:val="0"/>
        <w:color w:val="000000"/>
        <w:sz w:val="16"/>
        <w:szCs w:val="16"/>
        <w:u w:val="none"/>
        <w:shd w:fill="auto" w:val="clear"/>
        <w:vertAlign w:val="baseline"/>
        <w:rtl w:val="0"/>
      </w:rPr>
      <w:t xml:space="preserve"> Nº 0170.2022.CPL.PE.0093.MPPE       RELATÓRIO DE JULGAMENTO DE RECURSO ADMINISTRATIVO</w:t>
    </w:r>
  </w:p>
  <w:p w:rsidR="00000000" w:rsidDel="00000000" w:rsidP="00000000" w:rsidRDefault="00000000" w:rsidRPr="00000000" w14:paraId="0000007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7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center"/>
      <w:rPr>
        <w:rFonts w:ascii="Arial" w:cs="Arial" w:eastAsia="Arial" w:hAnsi="Arial"/>
        <w:b w:val="0"/>
        <w:i w:val="0"/>
        <w:smallCaps w:val="0"/>
        <w:strike w:val="0"/>
        <w:color w:val="000000"/>
        <w:sz w:val="12"/>
        <w:szCs w:val="12"/>
        <w:u w:val="none"/>
        <w:shd w:fill="auto" w:val="clear"/>
        <w:vertAlign w:val="baseline"/>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2517775</wp:posOffset>
          </wp:positionH>
          <wp:positionV relativeFrom="paragraph">
            <wp:posOffset>-37463</wp:posOffset>
          </wp:positionV>
          <wp:extent cx="924560" cy="823595"/>
          <wp:effectExtent b="635" l="635" r="635" t="635"/>
          <wp:wrapSquare wrapText="bothSides" distB="0" distT="0" distL="0" distR="0"/>
          <wp:docPr id="1030" name="image1.jpg"/>
          <a:graphic>
            <a:graphicData uri="http://schemas.openxmlformats.org/drawingml/2006/picture">
              <pic:pic>
                <pic:nvPicPr>
                  <pic:cNvPr id="0" name="image1.jpg"/>
                  <pic:cNvPicPr preferRelativeResize="0"/>
                </pic:nvPicPr>
                <pic:blipFill>
                  <a:blip r:embed="rId1"/>
                  <a:srcRect b="0" l="0" r="0" t="0"/>
                  <a:stretch>
                    <a:fillRect/>
                  </a:stretch>
                </pic:blipFill>
                <pic:spPr>
                  <a:xfrm>
                    <a:off x="0" y="0"/>
                    <a:ext cx="924560" cy="823595"/>
                  </a:xfrm>
                  <a:prstGeom prst="rect"/>
                  <a:ln w="635">
                    <a:solidFill>
                      <a:srgbClr val="808080"/>
                    </a:solidFill>
                    <a:prstDash val="solid"/>
                  </a:ln>
                </pic:spPr>
              </pic:pic>
            </a:graphicData>
          </a:graphic>
        </wp:anchor>
      </w:drawing>
    </w:r>
  </w:p>
  <w:p w:rsidR="00000000" w:rsidDel="00000000" w:rsidP="00000000" w:rsidRDefault="00000000" w:rsidRPr="00000000" w14:paraId="0000006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center"/>
      <w:rPr>
        <w:rFonts w:ascii="Arial" w:cs="Arial" w:eastAsia="Arial" w:hAnsi="Arial"/>
        <w:b w:val="0"/>
        <w:i w:val="0"/>
        <w:smallCaps w:val="0"/>
        <w:strike w:val="0"/>
        <w:color w:val="000000"/>
        <w:sz w:val="12"/>
        <w:szCs w:val="12"/>
        <w:u w:val="none"/>
        <w:shd w:fill="auto" w:val="clear"/>
        <w:vertAlign w:val="baseline"/>
      </w:rPr>
    </w:pPr>
    <w:r w:rsidDel="00000000" w:rsidR="00000000" w:rsidRPr="00000000">
      <w:rPr>
        <w:rtl w:val="0"/>
      </w:rPr>
    </w:r>
  </w:p>
  <w:p w:rsidR="00000000" w:rsidDel="00000000" w:rsidP="00000000" w:rsidRDefault="00000000" w:rsidRPr="00000000" w14:paraId="0000006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center"/>
      <w:rPr>
        <w:rFonts w:ascii="Arial" w:cs="Arial" w:eastAsia="Arial" w:hAnsi="Arial"/>
        <w:b w:val="0"/>
        <w:i w:val="0"/>
        <w:smallCaps w:val="0"/>
        <w:strike w:val="0"/>
        <w:color w:val="000000"/>
        <w:sz w:val="12"/>
        <w:szCs w:val="12"/>
        <w:u w:val="none"/>
        <w:shd w:fill="auto" w:val="clear"/>
        <w:vertAlign w:val="baseline"/>
      </w:rPr>
    </w:pPr>
    <w:r w:rsidDel="00000000" w:rsidR="00000000" w:rsidRPr="00000000">
      <w:rPr>
        <w:rtl w:val="0"/>
      </w:rPr>
    </w:r>
  </w:p>
  <w:p w:rsidR="00000000" w:rsidDel="00000000" w:rsidP="00000000" w:rsidRDefault="00000000" w:rsidRPr="00000000" w14:paraId="0000006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center"/>
      <w:rPr>
        <w:rFonts w:ascii="Arial" w:cs="Arial" w:eastAsia="Arial" w:hAnsi="Arial"/>
        <w:b w:val="0"/>
        <w:i w:val="0"/>
        <w:smallCaps w:val="0"/>
        <w:strike w:val="0"/>
        <w:color w:val="000000"/>
        <w:sz w:val="12"/>
        <w:szCs w:val="12"/>
        <w:u w:val="none"/>
        <w:shd w:fill="auto" w:val="clear"/>
        <w:vertAlign w:val="baseline"/>
      </w:rPr>
    </w:pPr>
    <w:r w:rsidDel="00000000" w:rsidR="00000000" w:rsidRPr="00000000">
      <w:rPr>
        <w:rtl w:val="0"/>
      </w:rPr>
    </w:r>
  </w:p>
  <w:p w:rsidR="00000000" w:rsidDel="00000000" w:rsidP="00000000" w:rsidRDefault="00000000" w:rsidRPr="00000000" w14:paraId="0000006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center"/>
      <w:rPr>
        <w:rFonts w:ascii="Arial" w:cs="Arial" w:eastAsia="Arial" w:hAnsi="Arial"/>
        <w:b w:val="0"/>
        <w:i w:val="0"/>
        <w:smallCaps w:val="0"/>
        <w:strike w:val="0"/>
        <w:color w:val="000000"/>
        <w:sz w:val="12"/>
        <w:szCs w:val="12"/>
        <w:u w:val="none"/>
        <w:shd w:fill="auto" w:val="clear"/>
        <w:vertAlign w:val="baseline"/>
      </w:rPr>
    </w:pPr>
    <w:r w:rsidDel="00000000" w:rsidR="00000000" w:rsidRPr="00000000">
      <w:rPr>
        <w:rtl w:val="0"/>
      </w:rPr>
    </w:r>
  </w:p>
  <w:p w:rsidR="00000000" w:rsidDel="00000000" w:rsidP="00000000" w:rsidRDefault="00000000" w:rsidRPr="00000000" w14:paraId="0000006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center"/>
      <w:rPr>
        <w:rFonts w:ascii="Arial" w:cs="Arial" w:eastAsia="Arial" w:hAnsi="Arial"/>
        <w:b w:val="0"/>
        <w:i w:val="0"/>
        <w:smallCaps w:val="0"/>
        <w:strike w:val="0"/>
        <w:color w:val="000000"/>
        <w:sz w:val="12"/>
        <w:szCs w:val="12"/>
        <w:u w:val="none"/>
        <w:shd w:fill="auto" w:val="clear"/>
        <w:vertAlign w:val="baseline"/>
      </w:rPr>
    </w:pPr>
    <w:r w:rsidDel="00000000" w:rsidR="00000000" w:rsidRPr="00000000">
      <w:rPr>
        <w:rtl w:val="0"/>
      </w:rPr>
    </w:r>
  </w:p>
  <w:p w:rsidR="00000000" w:rsidDel="00000000" w:rsidP="00000000" w:rsidRDefault="00000000" w:rsidRPr="00000000" w14:paraId="0000006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center"/>
      <w:rPr>
        <w:rFonts w:ascii="Arial" w:cs="Arial" w:eastAsia="Arial" w:hAnsi="Arial"/>
        <w:b w:val="0"/>
        <w:i w:val="0"/>
        <w:smallCaps w:val="0"/>
        <w:strike w:val="0"/>
        <w:color w:val="000000"/>
        <w:sz w:val="12"/>
        <w:szCs w:val="12"/>
        <w:u w:val="none"/>
        <w:shd w:fill="auto" w:val="clear"/>
        <w:vertAlign w:val="baseline"/>
      </w:rPr>
    </w:pPr>
    <w:r w:rsidDel="00000000" w:rsidR="00000000" w:rsidRPr="00000000">
      <w:rPr>
        <w:rtl w:val="0"/>
      </w:rPr>
    </w:r>
  </w:p>
  <w:p w:rsidR="00000000" w:rsidDel="00000000" w:rsidP="00000000" w:rsidRDefault="00000000" w:rsidRPr="00000000" w14:paraId="0000006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center"/>
      <w:rPr>
        <w:rFonts w:ascii="Arial" w:cs="Arial" w:eastAsia="Arial" w:hAnsi="Arial"/>
        <w:b w:val="0"/>
        <w:i w:val="0"/>
        <w:smallCaps w:val="0"/>
        <w:strike w:val="0"/>
        <w:color w:val="000000"/>
        <w:sz w:val="12"/>
        <w:szCs w:val="12"/>
        <w:u w:val="none"/>
        <w:shd w:fill="auto" w:val="clear"/>
        <w:vertAlign w:val="baseline"/>
      </w:rPr>
    </w:pPr>
    <w:r w:rsidDel="00000000" w:rsidR="00000000" w:rsidRPr="00000000">
      <w:rPr>
        <w:rtl w:val="0"/>
      </w:rPr>
    </w:r>
  </w:p>
  <w:p w:rsidR="00000000" w:rsidDel="00000000" w:rsidP="00000000" w:rsidRDefault="00000000" w:rsidRPr="00000000" w14:paraId="0000006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1125"/>
        <w:tab w:val="center" w:pos="4419"/>
        <w:tab w:val="center" w:pos="4889"/>
        <w:tab w:val="right" w:pos="8838"/>
      </w:tabs>
      <w:spacing w:after="0" w:before="0" w:line="240" w:lineRule="auto"/>
      <w:ind w:left="0" w:right="0" w:firstLine="0"/>
      <w:jc w:val="center"/>
      <w:rPr>
        <w:rFonts w:ascii="Century Gothic" w:cs="Century Gothic" w:eastAsia="Century Gothic" w:hAnsi="Century Gothic"/>
        <w:b w:val="0"/>
        <w:i w:val="0"/>
        <w:smallCaps w:val="0"/>
        <w:strike w:val="0"/>
        <w:color w:val="000000"/>
        <w:sz w:val="24"/>
        <w:szCs w:val="24"/>
        <w:u w:val="none"/>
        <w:shd w:fill="auto" w:val="clear"/>
        <w:vertAlign w:val="baseline"/>
      </w:rPr>
    </w:pPr>
    <w:r w:rsidDel="00000000" w:rsidR="00000000" w:rsidRPr="00000000">
      <w:rPr>
        <w:rFonts w:ascii="Century Gothic" w:cs="Century Gothic" w:eastAsia="Century Gothic" w:hAnsi="Century Gothic"/>
        <w:b w:val="1"/>
        <w:i w:val="0"/>
        <w:smallCaps w:val="0"/>
        <w:strike w:val="0"/>
        <w:color w:val="000000"/>
        <w:sz w:val="24"/>
        <w:szCs w:val="24"/>
        <w:u w:val="none"/>
        <w:shd w:fill="auto" w:val="clear"/>
        <w:vertAlign w:val="baseline"/>
        <w:rtl w:val="0"/>
      </w:rPr>
      <w:t xml:space="preserve">MINISTÉRIO PÚBLICO DO ESTADO DE PERNAMBUCO</w:t>
    </w:r>
    <w:r w:rsidDel="00000000" w:rsidR="00000000" w:rsidRPr="00000000">
      <w:rPr>
        <w:rtl w:val="0"/>
      </w:rPr>
    </w:r>
  </w:p>
  <w:p w:rsidR="00000000" w:rsidDel="00000000" w:rsidP="00000000" w:rsidRDefault="00000000" w:rsidRPr="00000000" w14:paraId="0000007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center"/>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Fonts w:ascii="Century Gothic" w:cs="Century Gothic" w:eastAsia="Century Gothic" w:hAnsi="Century Gothic"/>
        <w:b w:val="1"/>
        <w:i w:val="0"/>
        <w:smallCaps w:val="0"/>
        <w:strike w:val="0"/>
        <w:color w:val="000000"/>
        <w:sz w:val="22"/>
        <w:szCs w:val="22"/>
        <w:u w:val="none"/>
        <w:shd w:fill="auto" w:val="clear"/>
        <w:vertAlign w:val="baseline"/>
        <w:rtl w:val="0"/>
      </w:rPr>
      <w:t xml:space="preserve">Procuradoria-Geral de Justiça</w:t>
    </w:r>
    <w:r w:rsidDel="00000000" w:rsidR="00000000" w:rsidRPr="00000000">
      <w:rPr>
        <w:rtl w:val="0"/>
      </w:rPr>
    </w:r>
  </w:p>
  <w:p w:rsidR="00000000" w:rsidDel="00000000" w:rsidP="00000000" w:rsidRDefault="00000000" w:rsidRPr="00000000" w14:paraId="0000007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51" w:right="0" w:firstLine="0"/>
      <w:jc w:val="center"/>
      <w:rPr>
        <w:rFonts w:ascii="Century Gothic" w:cs="Century Gothic" w:eastAsia="Century Gothic" w:hAnsi="Century Gothic"/>
        <w:b w:val="0"/>
        <w:i w:val="0"/>
        <w:smallCaps w:val="0"/>
        <w:strike w:val="0"/>
        <w:color w:val="000000"/>
        <w:sz w:val="20"/>
        <w:szCs w:val="20"/>
        <w:u w:val="none"/>
        <w:shd w:fill="auto" w:val="clear"/>
        <w:vertAlign w:val="baseline"/>
      </w:rPr>
    </w:pPr>
    <w:r w:rsidDel="00000000" w:rsidR="00000000" w:rsidRPr="00000000">
      <w:rPr>
        <w:rFonts w:ascii="Century Gothic" w:cs="Century Gothic" w:eastAsia="Century Gothic" w:hAnsi="Century Gothic"/>
        <w:b w:val="1"/>
        <w:i w:val="0"/>
        <w:smallCaps w:val="0"/>
        <w:strike w:val="0"/>
        <w:color w:val="000000"/>
        <w:sz w:val="20"/>
        <w:szCs w:val="20"/>
        <w:u w:val="none"/>
        <w:shd w:fill="auto" w:val="clear"/>
        <w:vertAlign w:val="baseline"/>
        <w:rtl w:val="0"/>
      </w:rPr>
      <w:t xml:space="preserve">COMISSÃO PERMANENTE DE LICITAÇÃO – CPL</w:t>
    </w:r>
    <w:r w:rsidDel="00000000" w:rsidR="00000000" w:rsidRPr="00000000">
      <w:rPr>
        <w:rtl w:val="0"/>
      </w:rPr>
    </w:r>
  </w:p>
  <w:p w:rsidR="00000000" w:rsidDel="00000000" w:rsidP="00000000" w:rsidRDefault="00000000" w:rsidRPr="00000000" w14:paraId="0000007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51" w:right="0" w:firstLine="0"/>
      <w:jc w:val="center"/>
      <w:rPr>
        <w:rFonts w:ascii="Spranq eco sans" w:cs="Spranq eco sans" w:eastAsia="Spranq eco sans" w:hAnsi="Spranq eco sans"/>
        <w:b w:val="0"/>
        <w:i w:val="0"/>
        <w:smallCaps w:val="0"/>
        <w:strike w:val="0"/>
        <w:color w:val="000000"/>
        <w:sz w:val="20"/>
        <w:szCs w:val="20"/>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252"/>
        <w:tab w:val="right" w:pos="8504"/>
      </w:tabs>
      <w:spacing w:after="0" w:before="0" w:line="240" w:lineRule="auto"/>
      <w:ind w:left="0" w:right="0" w:hanging="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252"/>
        <w:tab w:val="right" w:pos="8504"/>
      </w:tabs>
      <w:spacing w:after="0" w:before="0" w:line="240" w:lineRule="auto"/>
      <w:ind w:left="0" w:right="0" w:hanging="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
      <w:lvlJc w:val="left"/>
      <w:pPr>
        <w:ind w:left="0" w:firstLine="0"/>
      </w:pPr>
      <w:rPr>
        <w:sz w:val="20"/>
        <w:szCs w:val="20"/>
        <w:vertAlign w:val="baseline"/>
      </w:rPr>
    </w:lvl>
    <w:lvl w:ilvl="1">
      <w:start w:val="1"/>
      <w:numFmt w:val="decimal"/>
      <w:lvlText w:val=""/>
      <w:lvlJc w:val="left"/>
      <w:pPr>
        <w:ind w:left="0" w:firstLine="0"/>
      </w:pPr>
      <w:rPr>
        <w:sz w:val="20"/>
        <w:szCs w:val="20"/>
        <w:vertAlign w:val="baseline"/>
      </w:rPr>
    </w:lvl>
    <w:lvl w:ilvl="2">
      <w:start w:val="1"/>
      <w:numFmt w:val="decimal"/>
      <w:lvlText w:val=""/>
      <w:lvlJc w:val="left"/>
      <w:pPr>
        <w:ind w:left="0" w:firstLine="0"/>
      </w:pPr>
      <w:rPr>
        <w:sz w:val="20"/>
        <w:szCs w:val="20"/>
        <w:vertAlign w:val="baseline"/>
      </w:rPr>
    </w:lvl>
    <w:lvl w:ilvl="3">
      <w:start w:val="1"/>
      <w:numFmt w:val="decimal"/>
      <w:lvlText w:val=""/>
      <w:lvlJc w:val="left"/>
      <w:pPr>
        <w:ind w:left="0" w:firstLine="0"/>
      </w:pPr>
      <w:rPr>
        <w:sz w:val="20"/>
        <w:szCs w:val="20"/>
        <w:vertAlign w:val="baseline"/>
      </w:rPr>
    </w:lvl>
    <w:lvl w:ilvl="4">
      <w:start w:val="1"/>
      <w:numFmt w:val="decimal"/>
      <w:lvlText w:val=""/>
      <w:lvlJc w:val="left"/>
      <w:pPr>
        <w:ind w:left="0" w:firstLine="0"/>
      </w:pPr>
      <w:rPr>
        <w:sz w:val="20"/>
        <w:szCs w:val="20"/>
        <w:vertAlign w:val="baseline"/>
      </w:rPr>
    </w:lvl>
    <w:lvl w:ilvl="5">
      <w:start w:val="1"/>
      <w:numFmt w:val="decimal"/>
      <w:lvlText w:val=""/>
      <w:lvlJc w:val="left"/>
      <w:pPr>
        <w:ind w:left="0" w:firstLine="0"/>
      </w:pPr>
      <w:rPr>
        <w:sz w:val="20"/>
        <w:szCs w:val="20"/>
        <w:vertAlign w:val="baseline"/>
      </w:rPr>
    </w:lvl>
    <w:lvl w:ilvl="6">
      <w:start w:val="1"/>
      <w:numFmt w:val="decimal"/>
      <w:lvlText w:val=""/>
      <w:lvlJc w:val="left"/>
      <w:pPr>
        <w:ind w:left="0" w:firstLine="0"/>
      </w:pPr>
      <w:rPr>
        <w:sz w:val="20"/>
        <w:szCs w:val="20"/>
        <w:vertAlign w:val="baseline"/>
      </w:rPr>
    </w:lvl>
    <w:lvl w:ilvl="7">
      <w:start w:val="1"/>
      <w:numFmt w:val="decimal"/>
      <w:lvlText w:val=""/>
      <w:lvlJc w:val="left"/>
      <w:pPr>
        <w:ind w:left="0" w:firstLine="0"/>
      </w:pPr>
      <w:rPr>
        <w:sz w:val="20"/>
        <w:szCs w:val="20"/>
        <w:vertAlign w:val="baseline"/>
      </w:rPr>
    </w:lvl>
    <w:lvl w:ilvl="8">
      <w:start w:val="1"/>
      <w:numFmt w:val="decimal"/>
      <w:lvlText w:val=""/>
      <w:lvlJc w:val="left"/>
      <w:pPr>
        <w:ind w:left="0" w:firstLine="0"/>
      </w:pPr>
      <w:rPr>
        <w:sz w:val="20"/>
        <w:szCs w:val="20"/>
        <w:vertAlign w:val="baseli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pt-BR"/>
      </w:rPr>
    </w:rPrDefault>
    <w:pPrDefault>
      <w:pPr>
        <w:ind w:hanging="1"/>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pPr>
    <w:rPr>
      <w:rFonts w:ascii="Arial" w:cs="Arial" w:eastAsia="Arial" w:hAnsi="Arial"/>
      <w:b w:val="1"/>
      <w:i w:val="0"/>
      <w:smallCaps w:val="0"/>
      <w:strike w:val="0"/>
      <w:color w:val="000000"/>
      <w:sz w:val="22"/>
      <w:szCs w:val="22"/>
      <w:u w:val="none"/>
      <w:shd w:fill="auto" w:val="clear"/>
      <w:vertAlign w:val="baseline"/>
    </w:rPr>
  </w:style>
  <w:style w:type="paragraph" w:styleId="Heading2">
    <w:name w:val="heading 2"/>
    <w:basedOn w:val="Normal"/>
    <w:next w:val="Normal"/>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hanging="1"/>
      <w:jc w:val="center"/>
    </w:pPr>
    <w:rPr>
      <w:rFonts w:ascii="Arial" w:cs="Arial" w:eastAsia="Arial" w:hAnsi="Arial"/>
      <w:b w:val="1"/>
      <w:i w:val="0"/>
      <w:smallCaps w:val="0"/>
      <w:strike w:val="0"/>
      <w:color w:val="000000"/>
      <w:sz w:val="24"/>
      <w:szCs w:val="24"/>
      <w:u w:val="none"/>
      <w:shd w:fill="auto" w:val="clear"/>
      <w:vertAlign w:val="baseline"/>
    </w:rPr>
  </w:style>
  <w:style w:type="paragraph" w:styleId="Heading3">
    <w:name w:val="heading 3"/>
    <w:basedOn w:val="Normal"/>
    <w:next w:val="Normal"/>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652" w:firstLine="0"/>
      <w:jc w:val="left"/>
    </w:pPr>
    <w:rPr>
      <w:rFonts w:ascii="Arial" w:cs="Arial" w:eastAsia="Arial" w:hAnsi="Arial"/>
      <w:b w:val="1"/>
      <w:i w:val="0"/>
      <w:smallCaps w:val="0"/>
      <w:strike w:val="0"/>
      <w:color w:val="000000"/>
      <w:sz w:val="24"/>
      <w:szCs w:val="24"/>
      <w:u w:val="none"/>
      <w:shd w:fill="auto" w:val="clear"/>
      <w:vertAlign w:val="baseline"/>
    </w:rPr>
  </w:style>
  <w:style w:type="paragraph" w:styleId="Heading4">
    <w:name w:val="heading 4"/>
    <w:basedOn w:val="Normal"/>
    <w:next w:val="Normal"/>
    <w:pPr>
      <w:keepNext w:val="1"/>
      <w:keepLines w:val="0"/>
      <w:pageBreakBefore w:val="0"/>
      <w:widowControl w:val="1"/>
      <w:pBdr>
        <w:top w:color="000000" w:space="1" w:sz="4" w:val="single"/>
        <w:left w:color="000000" w:space="4" w:sz="4" w:val="single"/>
        <w:bottom w:color="000000" w:space="1" w:sz="4" w:val="single"/>
        <w:right w:color="000000" w:space="4" w:sz="4" w:val="single"/>
        <w:between w:space="0" w:sz="0" w:val="nil"/>
      </w:pBdr>
      <w:shd w:fill="auto" w:val="clear"/>
      <w:spacing w:after="0" w:before="0" w:line="240" w:lineRule="auto"/>
      <w:ind w:left="1440" w:right="918" w:firstLine="0"/>
      <w:jc w:val="right"/>
    </w:pPr>
    <w:rPr>
      <w:rFonts w:ascii="Times New Roman" w:cs="Times New Roman" w:eastAsia="Times New Roman" w:hAnsi="Times New Roman"/>
      <w:b w:val="1"/>
      <w:i w:val="1"/>
      <w:smallCaps w:val="0"/>
      <w:strike w:val="0"/>
      <w:color w:val="000000"/>
      <w:sz w:val="23"/>
      <w:szCs w:val="23"/>
      <w:u w:val="none"/>
      <w:shd w:fill="auto" w:val="clear"/>
      <w:vertAlign w:val="baseline"/>
    </w:rPr>
  </w:style>
  <w:style w:type="paragraph" w:styleId="Heading5">
    <w:name w:val="heading 5"/>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20" w:line="240" w:lineRule="auto"/>
      <w:ind w:left="0" w:right="0" w:hanging="1"/>
      <w:jc w:val="left"/>
    </w:pPr>
    <w:rPr>
      <w:rFonts w:ascii="Times New Roman" w:cs="Times New Roman" w:eastAsia="Times New Roman" w:hAnsi="Times New Roman"/>
      <w:b w:val="1"/>
      <w:i w:val="0"/>
      <w:smallCaps w:val="0"/>
      <w:strike w:val="0"/>
      <w:color w:val="000000"/>
      <w:sz w:val="22"/>
      <w:szCs w:val="22"/>
      <w:u w:val="none"/>
      <w:shd w:fill="auto" w:val="clear"/>
      <w:vertAlign w:val="baseline"/>
    </w:rPr>
  </w:style>
  <w:style w:type="paragraph" w:styleId="Heading6">
    <w:name w:val="heading 6"/>
    <w:basedOn w:val="Normal"/>
    <w:next w:val="Normal"/>
    <w:pPr>
      <w:keepNext w:val="1"/>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pPr>
    <w:rPr>
      <w:rFonts w:ascii="Bookman Old Style" w:cs="Bookman Old Style" w:eastAsia="Bookman Old Style" w:hAnsi="Bookman Old Style"/>
      <w:b w:val="1"/>
      <w:i w:val="0"/>
      <w:smallCaps w:val="0"/>
      <w:strike w:val="0"/>
      <w:color w:val="000000"/>
      <w:sz w:val="28"/>
      <w:szCs w:val="28"/>
      <w:u w:val="none"/>
      <w:shd w:fill="auto" w:val="clear"/>
      <w:vertAlign w:val="baseline"/>
    </w:rPr>
  </w:style>
  <w:style w:type="paragraph" w:styleId="Title">
    <w:name w:val="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480" w:line="240" w:lineRule="auto"/>
      <w:ind w:left="0" w:right="0" w:hanging="1"/>
      <w:jc w:val="left"/>
    </w:pPr>
    <w:rPr>
      <w:rFonts w:ascii="Times New Roman" w:cs="Times New Roman" w:eastAsia="Times New Roman" w:hAnsi="Times New Roman"/>
      <w:b w:val="1"/>
      <w:i w:val="0"/>
      <w:smallCaps w:val="0"/>
      <w:strike w:val="0"/>
      <w:color w:val="000000"/>
      <w:sz w:val="72"/>
      <w:szCs w:val="72"/>
      <w:u w:val="none"/>
      <w:shd w:fill="auto" w:val="clear"/>
      <w:vertAlign w:val="baseline"/>
    </w:rPr>
  </w:style>
  <w:style w:type="paragraph" w:styleId="Normal" w:default="1">
    <w:name w:val="Normal"/>
    <w:next w:val="LO-normal"/>
    <w:rsid w:val="00A64CE2"/>
    <w:pPr>
      <w:suppressAutoHyphens w:val="1"/>
      <w:spacing w:line="1" w:lineRule="atLeast"/>
      <w:ind w:left="-1" w:leftChars="-1" w:hanging="1" w:hangingChars="1"/>
      <w:textDirection w:val="btLr"/>
      <w:textAlignment w:val="top"/>
      <w:outlineLvl w:val="0"/>
    </w:pPr>
    <w:rPr>
      <w:position w:val="-1"/>
      <w:lang w:eastAsia="zh-CN"/>
    </w:rPr>
  </w:style>
  <w:style w:type="paragraph" w:styleId="Ttulo1">
    <w:name w:val="heading 1"/>
    <w:basedOn w:val="normal0"/>
    <w:next w:val="normal0"/>
    <w:rsid w:val="00A64CE2"/>
    <w:pPr>
      <w:keepNext w:val="1"/>
      <w:spacing w:line="360" w:lineRule="auto"/>
      <w:ind w:left="0" w:firstLine="0"/>
      <w:jc w:val="center"/>
    </w:pPr>
    <w:rPr>
      <w:rFonts w:ascii="Arial" w:cs="Arial" w:eastAsia="Arial" w:hAnsi="Arial"/>
      <w:b w:val="1"/>
      <w:sz w:val="22"/>
      <w:szCs w:val="22"/>
    </w:rPr>
  </w:style>
  <w:style w:type="paragraph" w:styleId="Ttulo2">
    <w:name w:val="heading 2"/>
    <w:basedOn w:val="normal0"/>
    <w:next w:val="normal0"/>
    <w:rsid w:val="00A64CE2"/>
    <w:pPr>
      <w:keepNext w:val="1"/>
      <w:spacing w:line="360" w:lineRule="auto"/>
      <w:jc w:val="center"/>
      <w:outlineLvl w:val="1"/>
    </w:pPr>
    <w:rPr>
      <w:rFonts w:ascii="Arial" w:cs="Arial" w:eastAsia="Arial" w:hAnsi="Arial"/>
      <w:b w:val="1"/>
      <w:sz w:val="24"/>
      <w:szCs w:val="24"/>
    </w:rPr>
  </w:style>
  <w:style w:type="paragraph" w:styleId="Ttulo3">
    <w:name w:val="heading 3"/>
    <w:basedOn w:val="normal0"/>
    <w:next w:val="normal0"/>
    <w:rsid w:val="00A64CE2"/>
    <w:pPr>
      <w:keepNext w:val="1"/>
      <w:ind w:left="0" w:right="652" w:firstLine="0"/>
      <w:outlineLvl w:val="2"/>
    </w:pPr>
    <w:rPr>
      <w:rFonts w:ascii="Arial" w:cs="Arial" w:eastAsia="Arial" w:hAnsi="Arial"/>
      <w:b w:val="1"/>
      <w:sz w:val="24"/>
      <w:szCs w:val="24"/>
    </w:rPr>
  </w:style>
  <w:style w:type="paragraph" w:styleId="Ttulo4">
    <w:name w:val="heading 4"/>
    <w:basedOn w:val="normal0"/>
    <w:next w:val="normal0"/>
    <w:rsid w:val="00A64CE2"/>
    <w:pPr>
      <w:keepNext w:val="1"/>
      <w:pBdr>
        <w:top w:color="000000" w:space="1" w:sz="4" w:val="single"/>
        <w:left w:color="000000" w:space="4" w:sz="4" w:val="single"/>
        <w:bottom w:color="000000" w:space="1" w:sz="4" w:val="single"/>
        <w:right w:color="000000" w:space="4" w:sz="4" w:val="single"/>
      </w:pBdr>
      <w:ind w:left="1440" w:right="918" w:firstLine="0"/>
      <w:jc w:val="right"/>
      <w:outlineLvl w:val="3"/>
    </w:pPr>
    <w:rPr>
      <w:b w:val="1"/>
      <w:i w:val="1"/>
      <w:sz w:val="23"/>
      <w:szCs w:val="23"/>
    </w:rPr>
  </w:style>
  <w:style w:type="paragraph" w:styleId="Ttulo5">
    <w:name w:val="heading 5"/>
    <w:basedOn w:val="normal0"/>
    <w:next w:val="normal0"/>
    <w:rsid w:val="00A64CE2"/>
    <w:pPr>
      <w:keepNext w:val="1"/>
      <w:keepLines w:val="1"/>
      <w:spacing w:after="40" w:before="220" w:line="240" w:lineRule="auto"/>
      <w:outlineLvl w:val="4"/>
    </w:pPr>
    <w:rPr>
      <w:b w:val="1"/>
      <w:sz w:val="22"/>
      <w:szCs w:val="22"/>
    </w:rPr>
  </w:style>
  <w:style w:type="paragraph" w:styleId="Ttulo6">
    <w:name w:val="heading 6"/>
    <w:basedOn w:val="normal0"/>
    <w:next w:val="normal0"/>
    <w:rsid w:val="00A64CE2"/>
    <w:pPr>
      <w:keepNext w:val="1"/>
      <w:widowControl w:val="0"/>
      <w:ind w:left="0" w:firstLine="0"/>
      <w:jc w:val="center"/>
      <w:outlineLvl w:val="5"/>
    </w:pPr>
    <w:rPr>
      <w:rFonts w:ascii="Bookman Old Style" w:cs="Bookman Old Style" w:eastAsia="Bookman Old Style" w:hAnsi="Bookman Old Style"/>
      <w:b w:val="1"/>
      <w:sz w:val="28"/>
      <w:szCs w:val="28"/>
    </w:rPr>
  </w:style>
  <w:style w:type="character" w:styleId="Fontepargpadro" w:default="1">
    <w:name w:val="Default Paragraph Font"/>
    <w:uiPriority w:val="1"/>
    <w:unhideWhenUsed w:val="1"/>
  </w:style>
  <w:style w:type="table" w:styleId="Tabelanormal" w:default="1">
    <w:name w:val="Normal Table"/>
    <w:uiPriority w:val="99"/>
    <w:semiHidden w:val="1"/>
    <w:unhideWhenUsed w:val="1"/>
    <w:qFormat w:val="1"/>
    <w:tblPr>
      <w:tblInd w:w="0.0" w:type="dxa"/>
      <w:tblCellMar>
        <w:top w:w="0.0" w:type="dxa"/>
        <w:left w:w="108.0" w:type="dxa"/>
        <w:bottom w:w="0.0" w:type="dxa"/>
        <w:right w:w="108.0" w:type="dxa"/>
      </w:tblCellMar>
    </w:tblPr>
  </w:style>
  <w:style w:type="numbering" w:styleId="Semlista" w:default="1">
    <w:name w:val="No List"/>
    <w:uiPriority w:val="99"/>
    <w:semiHidden w:val="1"/>
    <w:unhideWhenUsed w:val="1"/>
  </w:style>
  <w:style w:type="paragraph" w:styleId="normal1" w:customStyle="1">
    <w:name w:val="normal"/>
    <w:rsid w:val="00A64CE2"/>
  </w:style>
  <w:style w:type="table" w:styleId="TableNormal" w:customStyle="1">
    <w:name w:val="Table Normal"/>
    <w:rsid w:val="00A64CE2"/>
    <w:tblPr>
      <w:tblCellMar>
        <w:top w:w="0.0" w:type="dxa"/>
        <w:left w:w="0.0" w:type="dxa"/>
        <w:bottom w:w="0.0" w:type="dxa"/>
        <w:right w:w="0.0" w:type="dxa"/>
      </w:tblCellMar>
    </w:tblPr>
  </w:style>
  <w:style w:type="paragraph" w:styleId="Ttulo">
    <w:name w:val="Title"/>
    <w:basedOn w:val="LO-normal"/>
    <w:next w:val="Corpodetexto"/>
    <w:rsid w:val="00A64CE2"/>
    <w:pPr>
      <w:keepNext w:val="1"/>
      <w:keepLines w:val="1"/>
      <w:spacing w:after="120" w:before="480" w:line="240" w:lineRule="auto"/>
    </w:pPr>
    <w:rPr>
      <w:b w:val="1"/>
      <w:sz w:val="72"/>
      <w:szCs w:val="72"/>
    </w:rPr>
  </w:style>
  <w:style w:type="paragraph" w:styleId="normal0" w:customStyle="1">
    <w:name w:val="normal"/>
    <w:rsid w:val="00A64CE2"/>
    <w:pPr>
      <w:suppressAutoHyphens w:val="1"/>
      <w:spacing w:line="1" w:lineRule="atLeast"/>
      <w:ind w:left="-1" w:leftChars="-1" w:hanging="1" w:hangingChars="1"/>
      <w:textDirection w:val="btLr"/>
      <w:textAlignment w:val="top"/>
      <w:outlineLvl w:val="0"/>
    </w:pPr>
    <w:rPr>
      <w:position w:val="-1"/>
    </w:rPr>
  </w:style>
  <w:style w:type="table" w:styleId="TableNormal0" w:customStyle="1">
    <w:name w:val="Table Normal"/>
    <w:rsid w:val="00A64CE2"/>
    <w:pPr>
      <w:suppressAutoHyphens w:val="1"/>
      <w:spacing w:line="1" w:lineRule="atLeast"/>
      <w:ind w:left="-1" w:leftChars="-1" w:hanging="1" w:hangingChars="1"/>
      <w:textDirection w:val="btLr"/>
      <w:textAlignment w:val="top"/>
      <w:outlineLvl w:val="0"/>
    </w:pPr>
    <w:rPr>
      <w:position w:val="-1"/>
    </w:rPr>
    <w:tblPr>
      <w:tblCellMar>
        <w:top w:w="0.0" w:type="dxa"/>
        <w:left w:w="0.0" w:type="dxa"/>
        <w:bottom w:w="0.0" w:type="dxa"/>
        <w:right w:w="0.0" w:type="dxa"/>
      </w:tblCellMar>
    </w:tblPr>
  </w:style>
  <w:style w:type="paragraph" w:styleId="Heading1" w:customStyle="1">
    <w:name w:val="Heading 1"/>
    <w:basedOn w:val="LO-normal"/>
    <w:next w:val="LO-normal"/>
    <w:rsid w:val="00A64CE2"/>
    <w:pPr>
      <w:keepNext w:val="1"/>
      <w:suppressAutoHyphens w:val="1"/>
      <w:spacing w:line="360" w:lineRule="auto"/>
      <w:ind w:left="0" w:firstLine="0"/>
      <w:jc w:val="center"/>
    </w:pPr>
    <w:rPr>
      <w:rFonts w:ascii="Arial" w:cs="Arial" w:eastAsia="NSimSun" w:hAnsi="Arial"/>
      <w:b w:val="1"/>
      <w:position w:val="0"/>
      <w:sz w:val="22"/>
      <w:lang w:bidi="ar-SA"/>
    </w:rPr>
  </w:style>
  <w:style w:type="paragraph" w:styleId="Heading2" w:customStyle="1">
    <w:name w:val="Heading 2"/>
    <w:basedOn w:val="LO-normal"/>
    <w:next w:val="LO-normal"/>
    <w:rsid w:val="00A64CE2"/>
    <w:pPr>
      <w:keepNext w:val="1"/>
      <w:suppressAutoHyphens w:val="1"/>
      <w:spacing w:line="360" w:lineRule="auto"/>
      <w:jc w:val="center"/>
      <w:outlineLvl w:val="1"/>
    </w:pPr>
    <w:rPr>
      <w:rFonts w:ascii="Arial" w:cs="Arial" w:eastAsia="NSimSun" w:hAnsi="Arial"/>
      <w:b w:val="1"/>
      <w:position w:val="0"/>
      <w:sz w:val="24"/>
      <w:lang w:bidi="ar-SA"/>
    </w:rPr>
  </w:style>
  <w:style w:type="paragraph" w:styleId="Heading3" w:customStyle="1">
    <w:name w:val="Heading 3"/>
    <w:basedOn w:val="LO-normal"/>
    <w:next w:val="LO-normal"/>
    <w:rsid w:val="00A64CE2"/>
    <w:pPr>
      <w:keepNext w:val="1"/>
      <w:suppressAutoHyphens w:val="1"/>
      <w:spacing w:line="240" w:lineRule="atLeast"/>
      <w:ind w:left="0" w:right="652" w:firstLine="0"/>
      <w:outlineLvl w:val="2"/>
    </w:pPr>
    <w:rPr>
      <w:rFonts w:ascii="Arial" w:cs="Arial" w:eastAsia="NSimSun" w:hAnsi="Arial"/>
      <w:b w:val="1"/>
      <w:position w:val="0"/>
      <w:sz w:val="24"/>
      <w:lang w:bidi="ar-SA"/>
    </w:rPr>
  </w:style>
  <w:style w:type="paragraph" w:styleId="Heading4" w:customStyle="1">
    <w:name w:val="Heading 4"/>
    <w:basedOn w:val="LO-normal"/>
    <w:next w:val="LO-normal"/>
    <w:rsid w:val="00A64CE2"/>
    <w:pPr>
      <w:keepNext w:val="1"/>
      <w:pBdr>
        <w:top w:color="000000" w:space="1" w:sz="4" w:val="single"/>
        <w:left w:color="000000" w:space="4" w:sz="4" w:val="single"/>
        <w:bottom w:color="000000" w:space="1" w:sz="4" w:val="single"/>
        <w:right w:color="000000" w:space="4" w:sz="4" w:val="single"/>
      </w:pBdr>
      <w:suppressAutoHyphens w:val="1"/>
      <w:ind w:left="1440" w:right="918" w:firstLine="0"/>
      <w:jc w:val="right"/>
      <w:outlineLvl w:val="3"/>
    </w:pPr>
    <w:rPr>
      <w:b w:val="1"/>
      <w:bCs w:val="1"/>
      <w:i w:val="1"/>
      <w:iCs w:val="1"/>
      <w:position w:val="0"/>
      <w:sz w:val="23"/>
      <w:lang w:bidi="ar-SA"/>
    </w:rPr>
  </w:style>
  <w:style w:type="paragraph" w:styleId="Heading5" w:customStyle="1">
    <w:name w:val="Heading 5"/>
    <w:basedOn w:val="LO-normal"/>
    <w:next w:val="LO-normal"/>
    <w:rsid w:val="00A64CE2"/>
    <w:pPr>
      <w:keepNext w:val="1"/>
      <w:keepLines w:val="1"/>
      <w:spacing w:after="40" w:before="220" w:line="240" w:lineRule="auto"/>
    </w:pPr>
    <w:rPr>
      <w:b w:val="1"/>
      <w:sz w:val="22"/>
      <w:szCs w:val="22"/>
    </w:rPr>
  </w:style>
  <w:style w:type="paragraph" w:styleId="Heading6" w:customStyle="1">
    <w:name w:val="Heading 6"/>
    <w:basedOn w:val="LO-normal"/>
    <w:next w:val="LO-normal"/>
    <w:rsid w:val="00A64CE2"/>
    <w:pPr>
      <w:keepNext w:val="1"/>
      <w:widowControl w:val="0"/>
      <w:suppressAutoHyphens w:val="1"/>
      <w:ind w:left="0" w:firstLine="0"/>
      <w:jc w:val="center"/>
      <w:outlineLvl w:val="5"/>
    </w:pPr>
    <w:rPr>
      <w:rFonts w:ascii="Bookman Old Style" w:cs="Bookman Old Style" w:eastAsia="NSimSun" w:hAnsi="Bookman Old Style"/>
      <w:b w:val="1"/>
      <w:position w:val="0"/>
      <w:sz w:val="28"/>
      <w:lang w:bidi="ar-SA"/>
    </w:rPr>
  </w:style>
  <w:style w:type="paragraph" w:styleId="Heading7" w:customStyle="1">
    <w:name w:val="Heading 7"/>
    <w:basedOn w:val="LO-normal"/>
    <w:next w:val="LO-normal"/>
    <w:rsid w:val="00A64CE2"/>
    <w:pPr>
      <w:keepNext w:val="1"/>
      <w:widowControl w:val="0"/>
      <w:suppressAutoHyphens w:val="1"/>
      <w:spacing w:line="360" w:lineRule="auto"/>
      <w:ind w:left="-142" w:firstLine="0"/>
      <w:jc w:val="center"/>
      <w:outlineLvl w:val="6"/>
    </w:pPr>
    <w:rPr>
      <w:rFonts w:ascii="Arial" w:cs="Arial" w:eastAsia="NSimSun" w:hAnsi="Arial"/>
      <w:b w:val="1"/>
      <w:bCs w:val="1"/>
      <w:position w:val="0"/>
      <w:szCs w:val="22"/>
      <w:lang w:bidi="ar-SA"/>
    </w:rPr>
  </w:style>
  <w:style w:type="paragraph" w:styleId="Heading9" w:customStyle="1">
    <w:name w:val="Heading 9"/>
    <w:basedOn w:val="LO-normal"/>
    <w:next w:val="LO-normal"/>
    <w:rsid w:val="00A64CE2"/>
    <w:pPr>
      <w:keepNext w:val="1"/>
      <w:widowControl w:val="0"/>
      <w:suppressAutoHyphens w:val="1"/>
      <w:ind w:left="-70" w:firstLine="0"/>
      <w:jc w:val="center"/>
      <w:outlineLvl w:val="8"/>
    </w:pPr>
    <w:rPr>
      <w:rFonts w:ascii="Arial" w:cs="Arial" w:eastAsia="NSimSun" w:hAnsi="Arial"/>
      <w:b w:val="1"/>
      <w:position w:val="0"/>
      <w:sz w:val="24"/>
      <w:lang w:bidi="ar-SA"/>
    </w:rPr>
  </w:style>
  <w:style w:type="character" w:styleId="Absatz-Standardschriftart" w:customStyle="1">
    <w:name w:val="Absatz-Standardschriftart"/>
    <w:rsid w:val="00A64CE2"/>
    <w:rPr>
      <w:w w:val="100"/>
      <w:position w:val="0"/>
      <w:sz w:val="20"/>
      <w:effect w:val="none"/>
      <w:vertAlign w:val="baseline"/>
      <w:cs w:val="0"/>
      <w:em w:val="none"/>
    </w:rPr>
  </w:style>
  <w:style w:type="character" w:styleId="WW-Absatz-Standardschriftart" w:customStyle="1">
    <w:name w:val="WW-Absatz-Standardschriftart"/>
    <w:rsid w:val="00A64CE2"/>
    <w:rPr>
      <w:w w:val="100"/>
      <w:position w:val="0"/>
      <w:sz w:val="20"/>
      <w:effect w:val="none"/>
      <w:vertAlign w:val="baseline"/>
      <w:cs w:val="0"/>
      <w:em w:val="none"/>
    </w:rPr>
  </w:style>
  <w:style w:type="character" w:styleId="Fontepargpadro3" w:customStyle="1">
    <w:name w:val="Fonte parág. padrão3"/>
    <w:rsid w:val="00A64CE2"/>
    <w:rPr>
      <w:w w:val="100"/>
      <w:position w:val="0"/>
      <w:sz w:val="20"/>
      <w:effect w:val="none"/>
      <w:vertAlign w:val="baseline"/>
      <w:cs w:val="0"/>
      <w:em w:val="none"/>
    </w:rPr>
  </w:style>
  <w:style w:type="character" w:styleId="WW-Absatz-Standardschriftart1" w:customStyle="1">
    <w:name w:val="WW-Absatz-Standardschriftart1"/>
    <w:rsid w:val="00A64CE2"/>
    <w:rPr>
      <w:w w:val="100"/>
      <w:position w:val="0"/>
      <w:sz w:val="20"/>
      <w:effect w:val="none"/>
      <w:vertAlign w:val="baseline"/>
      <w:cs w:val="0"/>
      <w:em w:val="none"/>
    </w:rPr>
  </w:style>
  <w:style w:type="character" w:styleId="WW-Absatz-Standardschriftart11" w:customStyle="1">
    <w:name w:val="WW-Absatz-Standardschriftart11"/>
    <w:rsid w:val="00A64CE2"/>
    <w:rPr>
      <w:w w:val="100"/>
      <w:position w:val="0"/>
      <w:sz w:val="20"/>
      <w:effect w:val="none"/>
      <w:vertAlign w:val="baseline"/>
      <w:cs w:val="0"/>
      <w:em w:val="none"/>
    </w:rPr>
  </w:style>
  <w:style w:type="character" w:styleId="WW-Absatz-Standardschriftart111" w:customStyle="1">
    <w:name w:val="WW-Absatz-Standardschriftart111"/>
    <w:rsid w:val="00A64CE2"/>
    <w:rPr>
      <w:w w:val="100"/>
      <w:position w:val="0"/>
      <w:sz w:val="20"/>
      <w:effect w:val="none"/>
      <w:vertAlign w:val="baseline"/>
      <w:cs w:val="0"/>
      <w:em w:val="none"/>
    </w:rPr>
  </w:style>
  <w:style w:type="character" w:styleId="WW8Num2z0" w:customStyle="1">
    <w:name w:val="WW8Num2z0"/>
    <w:rsid w:val="00A64CE2"/>
    <w:rPr>
      <w:rFonts w:ascii="Symbol" w:cs="Symbol" w:hAnsi="Symbol"/>
      <w:w w:val="100"/>
      <w:position w:val="0"/>
      <w:sz w:val="20"/>
      <w:effect w:val="none"/>
      <w:vertAlign w:val="baseline"/>
      <w:cs w:val="0"/>
      <w:em w:val="none"/>
    </w:rPr>
  </w:style>
  <w:style w:type="character" w:styleId="Fontepargpadro2" w:customStyle="1">
    <w:name w:val="Fonte parág. padrão2"/>
    <w:rsid w:val="00A64CE2"/>
    <w:rPr>
      <w:w w:val="100"/>
      <w:position w:val="0"/>
      <w:sz w:val="20"/>
      <w:effect w:val="none"/>
      <w:vertAlign w:val="baseline"/>
      <w:cs w:val="0"/>
      <w:em w:val="none"/>
    </w:rPr>
  </w:style>
  <w:style w:type="character" w:styleId="WW-Absatz-Standardschriftart1111" w:customStyle="1">
    <w:name w:val="WW-Absatz-Standardschriftart1111"/>
    <w:rsid w:val="00A64CE2"/>
    <w:rPr>
      <w:w w:val="100"/>
      <w:position w:val="0"/>
      <w:sz w:val="20"/>
      <w:effect w:val="none"/>
      <w:vertAlign w:val="baseline"/>
      <w:cs w:val="0"/>
      <w:em w:val="none"/>
    </w:rPr>
  </w:style>
  <w:style w:type="character" w:styleId="WW-Absatz-Standardschriftart11111" w:customStyle="1">
    <w:name w:val="WW-Absatz-Standardschriftart11111"/>
    <w:rsid w:val="00A64CE2"/>
    <w:rPr>
      <w:w w:val="100"/>
      <w:position w:val="0"/>
      <w:sz w:val="20"/>
      <w:effect w:val="none"/>
      <w:vertAlign w:val="baseline"/>
      <w:cs w:val="0"/>
      <w:em w:val="none"/>
    </w:rPr>
  </w:style>
  <w:style w:type="character" w:styleId="WW8Num1z0" w:customStyle="1">
    <w:name w:val="WW8Num1z0"/>
    <w:rsid w:val="00A64CE2"/>
    <w:rPr>
      <w:rFonts w:ascii="Symbol" w:cs="Symbol" w:hAnsi="Symbol"/>
      <w:w w:val="100"/>
      <w:position w:val="0"/>
      <w:sz w:val="20"/>
      <w:effect w:val="none"/>
      <w:vertAlign w:val="baseline"/>
      <w:cs w:val="0"/>
      <w:em w:val="none"/>
    </w:rPr>
  </w:style>
  <w:style w:type="character" w:styleId="WW8Num1z1" w:customStyle="1">
    <w:name w:val="WW8Num1z1"/>
    <w:rsid w:val="00A64CE2"/>
    <w:rPr>
      <w:rFonts w:ascii="Courier New" w:cs="Courier New" w:hAnsi="Courier New"/>
      <w:w w:val="100"/>
      <w:position w:val="0"/>
      <w:sz w:val="20"/>
      <w:effect w:val="none"/>
      <w:vertAlign w:val="baseline"/>
      <w:cs w:val="0"/>
      <w:em w:val="none"/>
    </w:rPr>
  </w:style>
  <w:style w:type="character" w:styleId="WW8Num1z2" w:customStyle="1">
    <w:name w:val="WW8Num1z2"/>
    <w:rsid w:val="00A64CE2"/>
    <w:rPr>
      <w:rFonts w:ascii="Wingdings" w:cs="Wingdings" w:hAnsi="Wingdings"/>
      <w:w w:val="100"/>
      <w:position w:val="0"/>
      <w:sz w:val="20"/>
      <w:effect w:val="none"/>
      <w:vertAlign w:val="baseline"/>
      <w:cs w:val="0"/>
      <w:em w:val="none"/>
    </w:rPr>
  </w:style>
  <w:style w:type="character" w:styleId="Fontepargpadro1" w:customStyle="1">
    <w:name w:val="Fonte parág. padrão1"/>
    <w:rsid w:val="00A64CE2"/>
    <w:rPr>
      <w:w w:val="100"/>
      <w:position w:val="0"/>
      <w:sz w:val="20"/>
      <w:effect w:val="none"/>
      <w:vertAlign w:val="baseline"/>
      <w:cs w:val="0"/>
      <w:em w:val="none"/>
    </w:rPr>
  </w:style>
  <w:style w:type="character" w:styleId="Nmerodepgina">
    <w:name w:val="page number"/>
    <w:basedOn w:val="Fontepargpadro1"/>
    <w:rsid w:val="00A64CE2"/>
    <w:rPr>
      <w:w w:val="100"/>
      <w:position w:val="0"/>
      <w:sz w:val="20"/>
      <w:effect w:val="none"/>
      <w:vertAlign w:val="baseline"/>
      <w:cs w:val="0"/>
      <w:em w:val="none"/>
    </w:rPr>
  </w:style>
  <w:style w:type="character" w:styleId="LinkdaInternet" w:customStyle="1">
    <w:name w:val="Link da Internet"/>
    <w:rsid w:val="00A64CE2"/>
    <w:rPr>
      <w:color w:val="0000ff"/>
      <w:w w:val="100"/>
      <w:position w:val="0"/>
      <w:sz w:val="20"/>
      <w:u w:val="single"/>
      <w:effect w:val="none"/>
      <w:vertAlign w:val="baseline"/>
      <w:cs w:val="0"/>
      <w:em w:val="none"/>
    </w:rPr>
  </w:style>
  <w:style w:type="character" w:styleId="CaracteresdeNotadeRodap" w:customStyle="1">
    <w:name w:val="Caracteres de Nota de Rodapé"/>
    <w:rsid w:val="00A64CE2"/>
    <w:rPr>
      <w:rFonts w:ascii="Tahoma" w:cs="Tahoma" w:hAnsi="Tahoma"/>
      <w:w w:val="100"/>
      <w:position w:val="-1"/>
      <w:sz w:val="18"/>
      <w:effect w:val="none"/>
      <w:vertAlign w:val="superscript"/>
      <w:cs w:val="0"/>
      <w:em w:val="none"/>
    </w:rPr>
  </w:style>
  <w:style w:type="character" w:styleId="Caracteresdenotaderodap0" w:customStyle="1">
    <w:name w:val="Caracteres de nota de rodapé"/>
    <w:rsid w:val="00A64CE2"/>
    <w:rPr>
      <w:w w:val="100"/>
      <w:position w:val="-1"/>
      <w:effect w:val="none"/>
      <w:vertAlign w:val="superscript"/>
      <w:cs w:val="0"/>
      <w:em w:val="none"/>
    </w:rPr>
  </w:style>
  <w:style w:type="character" w:styleId="CaracteresdeNotadeFim" w:customStyle="1">
    <w:name w:val="Caracteres de Nota de Fim"/>
    <w:rsid w:val="00A64CE2"/>
    <w:rPr>
      <w:w w:val="100"/>
      <w:position w:val="-1"/>
      <w:effect w:val="none"/>
      <w:vertAlign w:val="superscript"/>
      <w:cs w:val="0"/>
      <w:em w:val="none"/>
    </w:rPr>
  </w:style>
  <w:style w:type="character" w:styleId="WW-CaracteresdeNotadeFim" w:customStyle="1">
    <w:name w:val="WW- Caracteres de Nota de Fim"/>
    <w:rsid w:val="00A64CE2"/>
    <w:rPr>
      <w:w w:val="100"/>
      <w:position w:val="0"/>
      <w:sz w:val="20"/>
      <w:effect w:val="none"/>
      <w:vertAlign w:val="baseline"/>
      <w:cs w:val="0"/>
      <w:em w:val="none"/>
    </w:rPr>
  </w:style>
  <w:style w:type="character" w:styleId="Smbolosdenumerao" w:customStyle="1">
    <w:name w:val="Símbolos de numeração"/>
    <w:rsid w:val="00A64CE2"/>
    <w:rPr>
      <w:w w:val="100"/>
      <w:position w:val="0"/>
      <w:sz w:val="20"/>
      <w:effect w:val="none"/>
      <w:vertAlign w:val="baseline"/>
      <w:cs w:val="0"/>
      <w:em w:val="none"/>
    </w:rPr>
  </w:style>
  <w:style w:type="character" w:styleId="Marcas" w:customStyle="1">
    <w:name w:val="Marcas"/>
    <w:rsid w:val="00A64CE2"/>
    <w:rPr>
      <w:rFonts w:ascii="OpenSymbol" w:cs="OpenSymbol" w:eastAsia="OpenSymbol" w:hAnsi="OpenSymbol"/>
      <w:w w:val="100"/>
      <w:position w:val="0"/>
      <w:sz w:val="20"/>
      <w:effect w:val="none"/>
      <w:vertAlign w:val="baseline"/>
      <w:cs w:val="0"/>
      <w:em w:val="none"/>
    </w:rPr>
  </w:style>
  <w:style w:type="character" w:styleId="Refdecomentrio">
    <w:name w:val="annotation reference"/>
    <w:basedOn w:val="Fontepargpadro"/>
    <w:rsid w:val="00A64CE2"/>
    <w:rPr>
      <w:w w:val="100"/>
      <w:position w:val="0"/>
      <w:sz w:val="16"/>
      <w:szCs w:val="16"/>
      <w:effect w:val="none"/>
      <w:vertAlign w:val="baseline"/>
      <w:cs w:val="0"/>
      <w:em w:val="none"/>
    </w:rPr>
  </w:style>
  <w:style w:type="character" w:styleId="TextodecomentrioChar" w:customStyle="1">
    <w:name w:val="Texto de comentário Char"/>
    <w:basedOn w:val="Fontepargpadro"/>
    <w:rsid w:val="00A64CE2"/>
    <w:rPr>
      <w:w w:val="100"/>
      <w:position w:val="0"/>
      <w:sz w:val="20"/>
      <w:effect w:val="none"/>
      <w:vertAlign w:val="baseline"/>
      <w:cs w:val="0"/>
      <w:em w:val="none"/>
      <w:lang w:eastAsia="zh-CN"/>
    </w:rPr>
  </w:style>
  <w:style w:type="character" w:styleId="AssuntodocomentrioChar" w:customStyle="1">
    <w:name w:val="Assunto do comentário Char"/>
    <w:basedOn w:val="TextodecomentrioChar"/>
    <w:rsid w:val="00A64CE2"/>
    <w:rPr>
      <w:b w:val="1"/>
      <w:bCs w:val="1"/>
      <w:w w:val="100"/>
      <w:position w:val="0"/>
      <w:sz w:val="20"/>
      <w:effect w:val="none"/>
      <w:vertAlign w:val="baseline"/>
      <w:cs w:val="0"/>
      <w:em w:val="none"/>
      <w:lang w:eastAsia="zh-CN"/>
    </w:rPr>
  </w:style>
  <w:style w:type="character" w:styleId="TextodebaloChar" w:customStyle="1">
    <w:name w:val="Texto de balão Char"/>
    <w:basedOn w:val="Fontepargpadro"/>
    <w:rsid w:val="00A64CE2"/>
    <w:rPr>
      <w:rFonts w:ascii="Tahoma" w:cs="Tahoma" w:hAnsi="Tahoma"/>
      <w:w w:val="100"/>
      <w:position w:val="0"/>
      <w:sz w:val="16"/>
      <w:szCs w:val="16"/>
      <w:effect w:val="none"/>
      <w:vertAlign w:val="baseline"/>
      <w:cs w:val="0"/>
      <w:em w:val="none"/>
      <w:lang w:eastAsia="zh-CN"/>
    </w:rPr>
  </w:style>
  <w:style w:type="character" w:styleId="nfase">
    <w:name w:val="Emphasis"/>
    <w:basedOn w:val="Fontepargpadro"/>
    <w:rsid w:val="00A64CE2"/>
    <w:rPr>
      <w:i w:val="1"/>
      <w:iCs w:val="1"/>
      <w:w w:val="100"/>
      <w:position w:val="0"/>
      <w:sz w:val="20"/>
      <w:effect w:val="none"/>
      <w:vertAlign w:val="baseline"/>
      <w:cs w:val="0"/>
      <w:em w:val="none"/>
    </w:rPr>
  </w:style>
  <w:style w:type="character" w:styleId="Forte">
    <w:name w:val="Strong"/>
    <w:basedOn w:val="Fontepargpadro"/>
    <w:rsid w:val="00A64CE2"/>
    <w:rPr>
      <w:b w:val="1"/>
      <w:bCs w:val="1"/>
      <w:w w:val="100"/>
      <w:position w:val="0"/>
      <w:sz w:val="20"/>
      <w:effect w:val="none"/>
      <w:vertAlign w:val="baseline"/>
      <w:cs w:val="0"/>
      <w:em w:val="none"/>
    </w:rPr>
  </w:style>
  <w:style w:type="character" w:styleId="nfaseforte" w:customStyle="1">
    <w:name w:val="Ênfase forte"/>
    <w:rsid w:val="00A64CE2"/>
    <w:rPr>
      <w:b w:val="1"/>
      <w:bCs w:val="1"/>
      <w:w w:val="100"/>
      <w:position w:val="-1"/>
      <w:effect w:val="none"/>
      <w:vertAlign w:val="baseline"/>
      <w:cs w:val="0"/>
      <w:em w:val="none"/>
    </w:rPr>
  </w:style>
  <w:style w:type="paragraph" w:styleId="Corpodetexto">
    <w:name w:val="Body Text"/>
    <w:basedOn w:val="LO-normal"/>
    <w:rsid w:val="00A64CE2"/>
    <w:pPr>
      <w:suppressAutoHyphens w:val="1"/>
      <w:spacing w:line="360" w:lineRule="auto"/>
      <w:jc w:val="both"/>
    </w:pPr>
    <w:rPr>
      <w:rFonts w:ascii="Arial" w:cs="Arial" w:eastAsia="NSimSun" w:hAnsi="Arial"/>
      <w:position w:val="0"/>
      <w:sz w:val="22"/>
      <w:lang w:bidi="ar-SA"/>
    </w:rPr>
  </w:style>
  <w:style w:type="paragraph" w:styleId="Lista">
    <w:name w:val="List"/>
    <w:basedOn w:val="Corpodetexto"/>
    <w:rsid w:val="00A64CE2"/>
    <w:rPr>
      <w:rFonts w:cs="Tahoma"/>
    </w:rPr>
  </w:style>
  <w:style w:type="paragraph" w:styleId="Caption" w:customStyle="1">
    <w:name w:val="Caption"/>
    <w:basedOn w:val="LO-normal"/>
    <w:rsid w:val="00A64CE2"/>
    <w:pPr>
      <w:suppressLineNumbers w:val="1"/>
      <w:suppressAutoHyphens w:val="1"/>
      <w:spacing w:after="120" w:before="120"/>
    </w:pPr>
    <w:rPr>
      <w:i w:val="1"/>
      <w:iCs w:val="1"/>
      <w:position w:val="0"/>
      <w:sz w:val="24"/>
      <w:szCs w:val="24"/>
      <w:lang w:bidi="ar-SA"/>
    </w:rPr>
  </w:style>
  <w:style w:type="paragraph" w:styleId="ndice" w:customStyle="1">
    <w:name w:val="Índice"/>
    <w:basedOn w:val="LO-normal"/>
    <w:rsid w:val="00A64CE2"/>
    <w:pPr>
      <w:suppressLineNumbers w:val="1"/>
      <w:suppressAutoHyphens w:val="1"/>
    </w:pPr>
    <w:rPr>
      <w:position w:val="0"/>
      <w:lang w:bidi="ar-SA"/>
    </w:rPr>
  </w:style>
  <w:style w:type="paragraph" w:styleId="LO-normal" w:customStyle="1">
    <w:name w:val="LO-normal"/>
    <w:rsid w:val="00A64CE2"/>
    <w:pPr>
      <w:spacing w:line="1" w:lineRule="atLeast"/>
      <w:ind w:left="-1" w:leftChars="-1" w:hanging="1" w:hangingChars="1"/>
      <w:textDirection w:val="btLr"/>
      <w:textAlignment w:val="top"/>
      <w:outlineLvl w:val="0"/>
    </w:pPr>
    <w:rPr>
      <w:position w:val="-1"/>
      <w:lang w:bidi="hi-IN" w:eastAsia="zh-CN"/>
    </w:rPr>
  </w:style>
  <w:style w:type="paragraph" w:styleId="Ttulo20" w:customStyle="1">
    <w:name w:val="Título2"/>
    <w:basedOn w:val="LO-normal"/>
    <w:next w:val="Corpodetexto"/>
    <w:rsid w:val="00A64CE2"/>
    <w:pPr>
      <w:keepNext w:val="1"/>
      <w:suppressAutoHyphens w:val="1"/>
      <w:spacing w:after="120" w:before="240"/>
    </w:pPr>
    <w:rPr>
      <w:rFonts w:ascii="Arial" w:cs="Mangal" w:eastAsia="Microsoft YaHei" w:hAnsi="Arial"/>
      <w:position w:val="0"/>
      <w:sz w:val="28"/>
      <w:szCs w:val="28"/>
      <w:lang w:bidi="ar-SA"/>
    </w:rPr>
  </w:style>
  <w:style w:type="paragraph" w:styleId="Ttulo10" w:customStyle="1">
    <w:name w:val="Título1"/>
    <w:basedOn w:val="LO-normal"/>
    <w:next w:val="Subttulo"/>
    <w:rsid w:val="00A64CE2"/>
    <w:pPr>
      <w:suppressAutoHyphens w:val="1"/>
      <w:jc w:val="center"/>
    </w:pPr>
    <w:rPr>
      <w:rFonts w:ascii="Arial" w:cs="Arial" w:eastAsia="NSimSun" w:hAnsi="Arial"/>
      <w:b w:val="1"/>
      <w:position w:val="0"/>
      <w:sz w:val="22"/>
      <w:u w:val="single"/>
      <w:lang w:bidi="ar-SA"/>
    </w:rPr>
  </w:style>
  <w:style w:type="paragraph" w:styleId="Captulo" w:customStyle="1">
    <w:name w:val="Capítulo"/>
    <w:basedOn w:val="LO-normal"/>
    <w:next w:val="Corpodetexto"/>
    <w:rsid w:val="00A64CE2"/>
    <w:pPr>
      <w:keepNext w:val="1"/>
      <w:suppressAutoHyphens w:val="1"/>
      <w:spacing w:after="120" w:before="240"/>
    </w:pPr>
    <w:rPr>
      <w:rFonts w:ascii="Arial" w:cs="Tahoma" w:eastAsia="Lucida Sans Unicode" w:hAnsi="Arial"/>
      <w:position w:val="0"/>
      <w:sz w:val="28"/>
      <w:szCs w:val="28"/>
      <w:lang w:bidi="ar-SA"/>
    </w:rPr>
  </w:style>
  <w:style w:type="paragraph" w:styleId="Legenda1" w:customStyle="1">
    <w:name w:val="Legenda1"/>
    <w:basedOn w:val="LO-normal"/>
    <w:rsid w:val="00A64CE2"/>
    <w:pPr>
      <w:suppressLineNumbers w:val="1"/>
      <w:suppressAutoHyphens w:val="1"/>
      <w:spacing w:after="120" w:before="120"/>
    </w:pPr>
    <w:rPr>
      <w:i w:val="1"/>
      <w:iCs w:val="1"/>
      <w:position w:val="0"/>
      <w:sz w:val="24"/>
      <w:szCs w:val="24"/>
      <w:lang w:bidi="ar-SA"/>
    </w:rPr>
  </w:style>
  <w:style w:type="paragraph" w:styleId="CabealhoeRodap" w:customStyle="1">
    <w:name w:val="Cabeçalho e Rodapé"/>
    <w:basedOn w:val="Normal"/>
    <w:rsid w:val="00A64CE2"/>
  </w:style>
  <w:style w:type="paragraph" w:styleId="Header" w:customStyle="1">
    <w:name w:val="Header"/>
    <w:basedOn w:val="LO-normal"/>
    <w:rsid w:val="00A64CE2"/>
    <w:pPr>
      <w:suppressAutoHyphens w:val="1"/>
    </w:pPr>
    <w:rPr>
      <w:position w:val="0"/>
      <w:lang w:bidi="ar-SA"/>
    </w:rPr>
  </w:style>
  <w:style w:type="paragraph" w:styleId="Footer" w:customStyle="1">
    <w:name w:val="Footer"/>
    <w:basedOn w:val="LO-normal"/>
    <w:rsid w:val="00A64CE2"/>
    <w:pPr>
      <w:suppressAutoHyphens w:val="1"/>
    </w:pPr>
    <w:rPr>
      <w:position w:val="0"/>
      <w:lang w:bidi="ar-SA"/>
    </w:rPr>
  </w:style>
  <w:style w:type="paragraph" w:styleId="Recuodecorpodetexto">
    <w:name w:val="Body Text Indent"/>
    <w:basedOn w:val="LO-normal"/>
    <w:rsid w:val="00A64CE2"/>
    <w:pPr>
      <w:suppressAutoHyphens w:val="1"/>
      <w:ind w:left="0" w:firstLine="1418"/>
      <w:jc w:val="both"/>
    </w:pPr>
    <w:rPr>
      <w:rFonts w:ascii="Arial" w:cs="Arial" w:eastAsia="NSimSun" w:hAnsi="Arial"/>
      <w:position w:val="0"/>
      <w:sz w:val="22"/>
      <w:lang w:bidi="ar-SA"/>
    </w:rPr>
  </w:style>
  <w:style w:type="paragraph" w:styleId="Subttulo">
    <w:name w:val="Subtitle"/>
    <w:basedOn w:val="Normal"/>
    <w:next w:val="Normal"/>
    <w:rsid w:val="00A64CE2"/>
    <w:pPr>
      <w:keepNext w:val="1"/>
      <w:keepLines w:val="1"/>
      <w:spacing w:after="80" w:before="360"/>
    </w:pPr>
    <w:rPr>
      <w:rFonts w:ascii="Georgia" w:cs="Georgia" w:eastAsia="Georgia" w:hAnsi="Georgia"/>
      <w:i w:val="1"/>
      <w:color w:val="666666"/>
      <w:sz w:val="48"/>
      <w:szCs w:val="48"/>
    </w:rPr>
  </w:style>
  <w:style w:type="paragraph" w:styleId="Textoembloco1" w:customStyle="1">
    <w:name w:val="Texto em bloco1"/>
    <w:basedOn w:val="LO-normal"/>
    <w:rsid w:val="00A64CE2"/>
    <w:pPr>
      <w:suppressAutoHyphens w:val="1"/>
      <w:ind w:left="1560" w:right="51" w:firstLine="0"/>
      <w:jc w:val="both"/>
    </w:pPr>
    <w:rPr>
      <w:rFonts w:ascii="Arial" w:cs="Arial" w:eastAsia="NSimSun" w:hAnsi="Arial"/>
      <w:i w:val="1"/>
      <w:position w:val="0"/>
      <w:sz w:val="21"/>
      <w:lang w:bidi="ar-SA"/>
    </w:rPr>
  </w:style>
  <w:style w:type="paragraph" w:styleId="Recuodecorpodetexto21" w:customStyle="1">
    <w:name w:val="Recuo de corpo de texto 21"/>
    <w:basedOn w:val="LO-normal"/>
    <w:rsid w:val="00A64CE2"/>
    <w:pPr>
      <w:suppressAutoHyphens w:val="1"/>
      <w:spacing w:line="360" w:lineRule="auto"/>
      <w:ind w:left="0" w:firstLine="1134"/>
      <w:jc w:val="both"/>
    </w:pPr>
    <w:rPr>
      <w:rFonts w:ascii="Arial" w:cs="Arial" w:eastAsia="NSimSun" w:hAnsi="Arial"/>
      <w:position w:val="0"/>
      <w:sz w:val="22"/>
      <w:lang w:bidi="ar-SA"/>
    </w:rPr>
  </w:style>
  <w:style w:type="paragraph" w:styleId="Textoembloco">
    <w:name w:val="Block Text"/>
    <w:basedOn w:val="LO-normal"/>
    <w:rsid w:val="00A64CE2"/>
    <w:pPr>
      <w:suppressAutoHyphens w:val="1"/>
      <w:ind w:left="1560" w:right="50" w:hanging="567"/>
      <w:jc w:val="both"/>
    </w:pPr>
    <w:rPr>
      <w:rFonts w:ascii="Arial" w:cs="Arial" w:eastAsia="NSimSun" w:hAnsi="Arial"/>
      <w:position w:val="0"/>
      <w:sz w:val="24"/>
      <w:lang w:bidi="ar-SA"/>
    </w:rPr>
  </w:style>
  <w:style w:type="paragraph" w:styleId="Recuodecorpodetexto31" w:customStyle="1">
    <w:name w:val="Recuo de corpo de texto 31"/>
    <w:basedOn w:val="LO-normal"/>
    <w:rsid w:val="00A64CE2"/>
    <w:pPr>
      <w:suppressAutoHyphens w:val="1"/>
      <w:spacing w:line="360" w:lineRule="auto"/>
      <w:ind w:left="2835" w:firstLine="0"/>
      <w:jc w:val="both"/>
    </w:pPr>
    <w:rPr>
      <w:rFonts w:ascii="Arial" w:cs="Arial" w:eastAsia="NSimSun" w:hAnsi="Arial"/>
      <w:b w:val="1"/>
      <w:position w:val="0"/>
      <w:sz w:val="22"/>
      <w:lang w:bidi="ar-SA"/>
    </w:rPr>
  </w:style>
  <w:style w:type="paragraph" w:styleId="c2" w:customStyle="1">
    <w:name w:val="c2"/>
    <w:basedOn w:val="LO-normal"/>
    <w:rsid w:val="00A64CE2"/>
    <w:pPr>
      <w:widowControl w:val="0"/>
      <w:suppressAutoHyphens w:val="1"/>
      <w:spacing w:line="240" w:lineRule="atLeast"/>
      <w:jc w:val="center"/>
    </w:pPr>
    <w:rPr>
      <w:position w:val="0"/>
      <w:sz w:val="24"/>
      <w:lang w:bidi="ar-SA"/>
    </w:rPr>
  </w:style>
  <w:style w:type="paragraph" w:styleId="Recuodecorpodetexto2">
    <w:name w:val="Body Text Indent 2"/>
    <w:basedOn w:val="LO-normal"/>
    <w:rsid w:val="00A64CE2"/>
    <w:pPr>
      <w:widowControl w:val="0"/>
      <w:suppressAutoHyphens w:val="1"/>
      <w:ind w:left="2552" w:firstLine="0"/>
      <w:jc w:val="both"/>
    </w:pPr>
    <w:rPr>
      <w:rFonts w:ascii="Arial" w:cs="Arial" w:eastAsia="NSimSun" w:hAnsi="Arial"/>
      <w:position w:val="0"/>
      <w:sz w:val="24"/>
      <w:lang w:bidi="ar-SA"/>
    </w:rPr>
  </w:style>
  <w:style w:type="paragraph" w:styleId="Corpodetexto21" w:customStyle="1">
    <w:name w:val="Corpo de texto 21"/>
    <w:basedOn w:val="LO-normal"/>
    <w:rsid w:val="00A64CE2"/>
    <w:pPr>
      <w:suppressAutoHyphens w:val="1"/>
      <w:spacing w:line="360" w:lineRule="auto"/>
      <w:jc w:val="both"/>
    </w:pPr>
    <w:rPr>
      <w:rFonts w:ascii="Arial" w:cs="Arial" w:eastAsia="NSimSun" w:hAnsi="Arial"/>
      <w:position w:val="0"/>
      <w:sz w:val="24"/>
      <w:lang w:bidi="ar-SA"/>
    </w:rPr>
  </w:style>
  <w:style w:type="paragraph" w:styleId="Corpodetexto31" w:customStyle="1">
    <w:name w:val="Corpo de texto 31"/>
    <w:basedOn w:val="LO-normal"/>
    <w:rsid w:val="00A64CE2"/>
    <w:pPr>
      <w:suppressAutoHyphens w:val="1"/>
      <w:spacing w:line="360" w:lineRule="auto"/>
      <w:jc w:val="both"/>
    </w:pPr>
    <w:rPr>
      <w:rFonts w:ascii="Arial" w:cs="Arial" w:eastAsia="NSimSun" w:hAnsi="Arial"/>
      <w:position w:val="0"/>
      <w:sz w:val="24"/>
      <w:lang w:bidi="ar-SA"/>
    </w:rPr>
  </w:style>
  <w:style w:type="paragraph" w:styleId="Corpodetexto2">
    <w:name w:val="Body Text 2"/>
    <w:basedOn w:val="LO-normal"/>
    <w:rsid w:val="00A64CE2"/>
    <w:pPr>
      <w:suppressAutoHyphens w:val="1"/>
      <w:jc w:val="both"/>
    </w:pPr>
    <w:rPr>
      <w:rFonts w:ascii="Arial" w:cs="Arial" w:eastAsia="NSimSun" w:hAnsi="Arial"/>
      <w:position w:val="0"/>
      <w:sz w:val="24"/>
      <w:lang w:bidi="ar-SA"/>
    </w:rPr>
  </w:style>
  <w:style w:type="paragraph" w:styleId="font" w:customStyle="1">
    <w:name w:val="font"/>
    <w:basedOn w:val="LO-normal"/>
    <w:rsid w:val="00A64CE2"/>
    <w:pPr>
      <w:suppressAutoHyphens w:val="1"/>
      <w:spacing w:after="100" w:before="100"/>
    </w:pPr>
    <w:rPr>
      <w:rFonts w:ascii="Arial" w:cs="Arial" w:eastAsia="Arial Unicode MS" w:hAnsi="Arial"/>
      <w:color w:val="000000"/>
      <w:position w:val="0"/>
      <w:sz w:val="18"/>
      <w:szCs w:val="18"/>
      <w:lang w:bidi="ar-SA"/>
    </w:rPr>
  </w:style>
  <w:style w:type="paragraph" w:styleId="NormalWeb">
    <w:name w:val="Normal (Web)"/>
    <w:basedOn w:val="LO-normal"/>
    <w:rsid w:val="00A64CE2"/>
    <w:pPr>
      <w:suppressAutoHyphens w:val="1"/>
      <w:spacing w:after="100" w:before="100"/>
    </w:pPr>
    <w:rPr>
      <w:position w:val="0"/>
      <w:sz w:val="24"/>
      <w:szCs w:val="24"/>
      <w:lang w:bidi="ar-SA"/>
    </w:rPr>
  </w:style>
  <w:style w:type="paragraph" w:styleId="Textodenotaderodap">
    <w:name w:val="footnote text"/>
    <w:basedOn w:val="LO-normal"/>
    <w:rsid w:val="00A64CE2"/>
    <w:pPr>
      <w:widowControl w:val="0"/>
      <w:suppressAutoHyphens w:val="1"/>
      <w:ind w:left="284" w:hanging="284"/>
      <w:jc w:val="both"/>
    </w:pPr>
    <w:rPr>
      <w:rFonts w:ascii="Tahoma" w:cs="Tahoma" w:eastAsia="NSimSun" w:hAnsi="Tahoma"/>
      <w:position w:val="0"/>
      <w:sz w:val="18"/>
      <w:lang w:bidi="ar-SA"/>
    </w:rPr>
  </w:style>
  <w:style w:type="paragraph" w:styleId="Contedodatabela" w:customStyle="1">
    <w:name w:val="Conteúdo da tabela"/>
    <w:basedOn w:val="LO-normal"/>
    <w:rsid w:val="00A64CE2"/>
    <w:pPr>
      <w:suppressLineNumbers w:val="1"/>
      <w:suppressAutoHyphens w:val="1"/>
    </w:pPr>
    <w:rPr>
      <w:position w:val="0"/>
      <w:lang w:bidi="ar-SA"/>
    </w:rPr>
  </w:style>
  <w:style w:type="paragraph" w:styleId="Ttulodatabela" w:customStyle="1">
    <w:name w:val="Título da tabela"/>
    <w:basedOn w:val="Contedodatabela"/>
    <w:rsid w:val="00A64CE2"/>
    <w:pPr>
      <w:jc w:val="center"/>
    </w:pPr>
    <w:rPr>
      <w:b w:val="1"/>
      <w:bCs w:val="1"/>
    </w:rPr>
  </w:style>
  <w:style w:type="paragraph" w:styleId="Contedodoquadro" w:customStyle="1">
    <w:name w:val="Conteúdo do quadro"/>
    <w:basedOn w:val="Corpodetexto"/>
    <w:rsid w:val="00A64CE2"/>
  </w:style>
  <w:style w:type="paragraph" w:styleId="Ttulodetabela" w:customStyle="1">
    <w:name w:val="Título de tabela"/>
    <w:basedOn w:val="Contedodatabela"/>
    <w:rsid w:val="00A64CE2"/>
    <w:pPr>
      <w:jc w:val="center"/>
    </w:pPr>
    <w:rPr>
      <w:b w:val="1"/>
      <w:bCs w:val="1"/>
    </w:rPr>
  </w:style>
  <w:style w:type="paragraph" w:styleId="Citaes" w:customStyle="1">
    <w:name w:val="Citações"/>
    <w:basedOn w:val="LO-normal"/>
    <w:rsid w:val="00A64CE2"/>
    <w:pPr>
      <w:suppressAutoHyphens w:val="1"/>
      <w:spacing w:after="57" w:before="57"/>
      <w:ind w:left="1701" w:right="567" w:firstLine="0"/>
      <w:jc w:val="both"/>
    </w:pPr>
    <w:rPr>
      <w:rFonts w:ascii="Spranq eco sans" w:cs="Lucida Sans" w:eastAsia="NSimSun" w:hAnsi="Spranq eco sans"/>
      <w:i w:val="1"/>
      <w:position w:val="0"/>
      <w:sz w:val="22"/>
      <w:lang w:bidi="ar-SA"/>
    </w:rPr>
  </w:style>
  <w:style w:type="paragraph" w:styleId="PargrafodaLista">
    <w:name w:val="List Paragraph"/>
    <w:basedOn w:val="LO-normal"/>
    <w:rsid w:val="00A64CE2"/>
    <w:pPr>
      <w:spacing w:after="200" w:line="276" w:lineRule="auto"/>
      <w:ind w:left="720" w:firstLine="0"/>
      <w:contextualSpacing w:val="1"/>
    </w:pPr>
    <w:rPr>
      <w:rFonts w:ascii="Calibri" w:eastAsia="Calibri" w:hAnsi="Calibri"/>
      <w:position w:val="0"/>
      <w:sz w:val="22"/>
      <w:szCs w:val="22"/>
      <w:lang w:bidi="ar-SA"/>
    </w:rPr>
  </w:style>
  <w:style w:type="paragraph" w:styleId="Textodecomentrio">
    <w:name w:val="annotation text"/>
    <w:basedOn w:val="LO-normal"/>
    <w:rsid w:val="00A64CE2"/>
    <w:pPr>
      <w:suppressAutoHyphens w:val="1"/>
    </w:pPr>
    <w:rPr>
      <w:position w:val="0"/>
      <w:lang w:bidi="ar-SA"/>
    </w:rPr>
  </w:style>
  <w:style w:type="paragraph" w:styleId="Assuntodocomentrio">
    <w:name w:val="annotation subject"/>
    <w:basedOn w:val="Textodecomentrio"/>
    <w:next w:val="Textodecomentrio"/>
    <w:rsid w:val="00A64CE2"/>
    <w:rPr>
      <w:b w:val="1"/>
      <w:bCs w:val="1"/>
    </w:rPr>
  </w:style>
  <w:style w:type="paragraph" w:styleId="Textodebalo">
    <w:name w:val="Balloon Text"/>
    <w:basedOn w:val="LO-normal"/>
    <w:rsid w:val="00A64CE2"/>
    <w:pPr>
      <w:suppressAutoHyphens w:val="1"/>
    </w:pPr>
    <w:rPr>
      <w:rFonts w:ascii="Tahoma" w:cs="Tahoma" w:eastAsia="NSimSun" w:hAnsi="Tahoma"/>
      <w:position w:val="0"/>
      <w:sz w:val="16"/>
      <w:szCs w:val="16"/>
      <w:lang w:bidi="ar-SA"/>
    </w:rPr>
  </w:style>
  <w:style w:type="paragraph" w:styleId="04partenormativa" w:customStyle="1">
    <w:name w:val="04partenormativa"/>
    <w:basedOn w:val="LO-normal"/>
    <w:rsid w:val="00A64CE2"/>
    <w:pPr>
      <w:spacing w:afterAutospacing="1" w:beforeAutospacing="1"/>
    </w:pPr>
    <w:rPr>
      <w:position w:val="0"/>
      <w:sz w:val="24"/>
      <w:szCs w:val="24"/>
      <w:lang w:bidi="ar-SA"/>
    </w:rPr>
  </w:style>
  <w:style w:type="paragraph" w:styleId="texto2" w:customStyle="1">
    <w:name w:val="texto2"/>
    <w:basedOn w:val="LO-normal"/>
    <w:rsid w:val="00A64CE2"/>
    <w:pPr>
      <w:spacing w:afterAutospacing="1" w:beforeAutospacing="1"/>
    </w:pPr>
    <w:rPr>
      <w:position w:val="0"/>
      <w:sz w:val="24"/>
      <w:szCs w:val="24"/>
      <w:lang w:bidi="ar-SA"/>
    </w:rPr>
  </w:style>
  <w:style w:type="paragraph" w:styleId="NumeracaoCorpo2" w:customStyle="1">
    <w:name w:val="Numeracao Corpo 2"/>
    <w:basedOn w:val="LO-normal"/>
    <w:rsid w:val="00A64CE2"/>
    <w:pPr>
      <w:suppressAutoHyphens w:val="1"/>
      <w:spacing w:after="60" w:before="60" w:line="100" w:lineRule="atLeast"/>
      <w:ind w:left="1503" w:hanging="652"/>
      <w:jc w:val="both"/>
      <w:outlineLvl w:val="1"/>
    </w:pPr>
    <w:rPr>
      <w:rFonts w:ascii="Spranq eco sans" w:cs="Arial" w:eastAsia="NSimSun" w:hAnsi="Spranq eco sans"/>
      <w:position w:val="0"/>
      <w:sz w:val="21"/>
      <w:lang w:bidi="ar-SA"/>
    </w:rPr>
  </w:style>
  <w:style w:type="paragraph" w:styleId="Default" w:customStyle="1">
    <w:name w:val="Default"/>
    <w:rsid w:val="00A64CE2"/>
    <w:pPr>
      <w:spacing w:line="1" w:lineRule="atLeast"/>
      <w:ind w:left="-1" w:leftChars="-1" w:hanging="1" w:hangingChars="1"/>
      <w:textDirection w:val="btLr"/>
      <w:textAlignment w:val="top"/>
      <w:outlineLvl w:val="0"/>
    </w:pPr>
    <w:rPr>
      <w:rFonts w:ascii="Calibri" w:cs="Calibri" w:eastAsia="NSimSun" w:hAnsi="Calibri"/>
      <w:color w:val="000000"/>
      <w:position w:val="-1"/>
      <w:sz w:val="24"/>
      <w:szCs w:val="24"/>
    </w:rPr>
  </w:style>
  <w:style w:type="table" w:styleId="TableNormal1" w:customStyle="1">
    <w:name w:val="Table Normal"/>
    <w:rsid w:val="00A64CE2"/>
    <w:pPr>
      <w:suppressAutoHyphens w:val="1"/>
      <w:spacing w:line="1" w:lineRule="atLeast"/>
      <w:ind w:left="-1" w:leftChars="-1" w:hanging="1" w:hangingChars="1"/>
      <w:textDirection w:val="btLr"/>
      <w:textAlignment w:val="top"/>
      <w:outlineLvl w:val="0"/>
    </w:pPr>
    <w:rPr>
      <w:position w:val="-1"/>
    </w:rPr>
    <w:tblPr>
      <w:tblCellMar>
        <w:top w:w="0.0" w:type="dxa"/>
        <w:left w:w="0.0" w:type="dxa"/>
        <w:bottom w:w="0.0" w:type="dxa"/>
        <w:right w:w="0.0" w:type="dxa"/>
      </w:tblCellMar>
    </w:tblPr>
  </w:style>
  <w:style w:type="table" w:styleId="TableNormal2" w:customStyle="1">
    <w:name w:val="Table Normal"/>
    <w:next w:val="TableNormal"/>
    <w:rsid w:val="00A64CE2"/>
    <w:pPr>
      <w:suppressAutoHyphens w:val="1"/>
      <w:spacing w:line="1" w:lineRule="atLeast"/>
      <w:ind w:left="-1" w:leftChars="-1" w:hanging="1" w:hangingChars="1"/>
      <w:textDirection w:val="btLr"/>
      <w:textAlignment w:val="top"/>
      <w:outlineLvl w:val="0"/>
    </w:pPr>
    <w:rPr>
      <w:position w:val="-1"/>
    </w:rPr>
    <w:tblPr>
      <w:tblCellMar>
        <w:top w:w="0.0" w:type="dxa"/>
        <w:left w:w="0.0" w:type="dxa"/>
        <w:bottom w:w="0.0" w:type="dxa"/>
        <w:right w:w="0.0" w:type="dxa"/>
      </w:tblCellMar>
    </w:tblPr>
  </w:style>
  <w:style w:type="paragraph" w:styleId="Cabealho">
    <w:name w:val="header"/>
    <w:basedOn w:val="Normal"/>
    <w:qFormat w:val="1"/>
    <w:rsid w:val="00A64CE2"/>
    <w:pPr>
      <w:tabs>
        <w:tab w:val="center" w:pos="4252"/>
        <w:tab w:val="right" w:pos="8504"/>
      </w:tabs>
      <w:spacing w:line="240" w:lineRule="auto"/>
    </w:pPr>
  </w:style>
  <w:style w:type="character" w:styleId="CabealhoChar" w:customStyle="1">
    <w:name w:val="Cabeçalho Char"/>
    <w:basedOn w:val="Fontepargpadro"/>
    <w:rsid w:val="00A64CE2"/>
    <w:rPr>
      <w:w w:val="100"/>
      <w:position w:val="-1"/>
      <w:effect w:val="none"/>
      <w:vertAlign w:val="baseline"/>
      <w:cs w:val="0"/>
      <w:em w:val="none"/>
      <w:lang w:eastAsia="zh-CN"/>
    </w:rPr>
  </w:style>
  <w:style w:type="paragraph" w:styleId="Rodap">
    <w:name w:val="footer"/>
    <w:basedOn w:val="Normal"/>
    <w:qFormat w:val="1"/>
    <w:rsid w:val="00A64CE2"/>
    <w:pPr>
      <w:tabs>
        <w:tab w:val="center" w:pos="4252"/>
        <w:tab w:val="right" w:pos="8504"/>
      </w:tabs>
      <w:spacing w:line="240" w:lineRule="auto"/>
    </w:pPr>
  </w:style>
  <w:style w:type="character" w:styleId="RodapChar" w:customStyle="1">
    <w:name w:val="Rodapé Char"/>
    <w:basedOn w:val="Fontepargpadro"/>
    <w:rsid w:val="00A64CE2"/>
    <w:rPr>
      <w:w w:val="100"/>
      <w:position w:val="-1"/>
      <w:effect w:val="none"/>
      <w:vertAlign w:val="baseline"/>
      <w:cs w:val="0"/>
      <w:em w:val="none"/>
      <w:lang w:eastAsia="zh-CN"/>
    </w:rPr>
  </w:style>
  <w:style w:type="table" w:styleId="Tabelacomgrade">
    <w:name w:val="Table Grid"/>
    <w:basedOn w:val="Tabelanormal"/>
    <w:rsid w:val="00A64CE2"/>
    <w:pPr>
      <w:suppressAutoHyphens w:val="1"/>
      <w:spacing w:line="1" w:lineRule="atLeast"/>
      <w:ind w:left="-1" w:leftChars="-1" w:hanging="1" w:hangingChars="1"/>
      <w:textDirection w:val="btLr"/>
      <w:textAlignment w:val="top"/>
      <w:outlineLvl w:val="0"/>
    </w:pPr>
    <w:rPr>
      <w:position w:val="-1"/>
    </w:rPr>
    <w:tblPr>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2.xml"/><Relationship Id="rId10" Type="http://schemas.openxmlformats.org/officeDocument/2006/relationships/footer" Target="footer3.xml"/><Relationship Id="rId12" Type="http://schemas.openxmlformats.org/officeDocument/2006/relationships/footer" Target="footer1.xml"/><Relationship Id="rId9" Type="http://schemas.openxmlformats.org/officeDocument/2006/relationships/header" Target="header2.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header" Target="header3.xml"/></Relationships>
</file>

<file path=word/_rels/fontTable.xml.rels><?xml version="1.0" encoding="UTF-8" standalone="yes"?><Relationships xmlns="http://schemas.openxmlformats.org/package/2006/relationships"><Relationship Id="rId1" Type="http://schemas.openxmlformats.org/officeDocument/2006/relationships/font" Target="fonts/CenturyGothic-regular.ttf"/><Relationship Id="rId2" Type="http://schemas.openxmlformats.org/officeDocument/2006/relationships/font" Target="fonts/CenturyGothic-bold.ttf"/><Relationship Id="rId3" Type="http://schemas.openxmlformats.org/officeDocument/2006/relationships/font" Target="fonts/CenturyGothic-italic.ttf"/><Relationship Id="rId4" Type="http://schemas.openxmlformats.org/officeDocument/2006/relationships/font" Target="fonts/CenturyGothic-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D/SIip31hyabEtixf36LsD41tQA==">AMUW2mVvi/ZWQanYbJkgk0EPPkvEUikJQKt9NCbAOA+t3DBDaFH2ABcmbMnfB0OD3zG0d6SwvQemN/TgEl1br4od33Q1vh8Kax/rreck5wpXxeH08s6MFwPihTbYqtRgdQ/cm/87ku+S</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2022-05-17T15:46:00Z</dcterms:created>
  <dc:creator>Acer</dc:creator>
</cp:coreProperties>
</file>