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842393" w:rsidRPr="00B8756E" w:rsidRDefault="00842393" w:rsidP="00842393">
      <w:pPr>
        <w:spacing w:before="120" w:after="120"/>
        <w:rPr>
          <w:rFonts w:cs="Arial"/>
          <w:sz w:val="20"/>
          <w:szCs w:val="20"/>
        </w:rPr>
      </w:pPr>
    </w:p>
    <w:p w14:paraId="0A37501D" w14:textId="77777777" w:rsidR="00842393" w:rsidRPr="00B8756E" w:rsidRDefault="00842393" w:rsidP="00842393">
      <w:pPr>
        <w:spacing w:before="120" w:after="120"/>
        <w:rPr>
          <w:rFonts w:cs="Arial"/>
          <w:sz w:val="20"/>
          <w:szCs w:val="20"/>
        </w:rPr>
      </w:pPr>
    </w:p>
    <w:p w14:paraId="5DAB6C7B" w14:textId="77777777" w:rsidR="00842393" w:rsidRPr="00B8756E" w:rsidRDefault="00842393" w:rsidP="00842393">
      <w:pPr>
        <w:spacing w:before="120" w:after="120"/>
        <w:rPr>
          <w:rFonts w:cs="Arial"/>
        </w:rPr>
      </w:pPr>
    </w:p>
    <w:p w14:paraId="02EB378F" w14:textId="77777777" w:rsidR="00842393" w:rsidRDefault="00842393" w:rsidP="00842393">
      <w:pPr>
        <w:spacing w:before="120" w:after="120"/>
        <w:rPr>
          <w:rFonts w:cs="Arial"/>
          <w:b/>
          <w:sz w:val="28"/>
          <w:szCs w:val="28"/>
        </w:rPr>
      </w:pPr>
    </w:p>
    <w:p w14:paraId="6A05A809" w14:textId="77777777" w:rsidR="00842393" w:rsidRPr="00B8756E" w:rsidRDefault="00842393" w:rsidP="00842393">
      <w:pPr>
        <w:spacing w:before="120" w:after="120"/>
        <w:rPr>
          <w:rFonts w:cs="Arial"/>
        </w:rPr>
      </w:pPr>
    </w:p>
    <w:p w14:paraId="3753A4AD" w14:textId="77777777" w:rsidR="00842393" w:rsidRPr="00B8756E" w:rsidRDefault="00842393" w:rsidP="00842393">
      <w:pPr>
        <w:spacing w:before="120" w:after="120"/>
        <w:jc w:val="center"/>
        <w:rPr>
          <w:rFonts w:cs="Arial"/>
          <w:sz w:val="40"/>
          <w:szCs w:val="40"/>
          <w:u w:val="single"/>
        </w:rPr>
      </w:pPr>
      <w:r w:rsidRPr="00B8756E">
        <w:rPr>
          <w:rFonts w:cs="Arial"/>
          <w:sz w:val="40"/>
          <w:szCs w:val="40"/>
          <w:u w:val="single"/>
        </w:rPr>
        <w:t>MEMORIAL DESCRITIVO</w:t>
      </w:r>
    </w:p>
    <w:p w14:paraId="5A39BBE3" w14:textId="77777777" w:rsidR="00842393" w:rsidRPr="00B8756E" w:rsidRDefault="00842393" w:rsidP="00842393">
      <w:pPr>
        <w:spacing w:before="120" w:after="120"/>
        <w:jc w:val="center"/>
        <w:rPr>
          <w:rFonts w:cs="Arial"/>
          <w:sz w:val="40"/>
          <w:szCs w:val="40"/>
          <w:u w:val="single"/>
        </w:rPr>
      </w:pPr>
    </w:p>
    <w:p w14:paraId="41C8F396" w14:textId="77777777" w:rsidR="00842393" w:rsidRPr="00B8756E" w:rsidRDefault="00842393" w:rsidP="00842393">
      <w:pPr>
        <w:spacing w:before="120" w:after="120"/>
        <w:jc w:val="center"/>
        <w:rPr>
          <w:rFonts w:cs="Arial"/>
          <w:sz w:val="40"/>
          <w:szCs w:val="40"/>
          <w:u w:val="single"/>
        </w:rPr>
      </w:pPr>
    </w:p>
    <w:p w14:paraId="30651B0E" w14:textId="31ACDCB6" w:rsidR="00842393" w:rsidRPr="00B8756E" w:rsidRDefault="00842393" w:rsidP="00842393">
      <w:pPr>
        <w:spacing w:before="120" w:after="120"/>
        <w:jc w:val="center"/>
        <w:rPr>
          <w:rFonts w:cs="Arial"/>
          <w:b/>
          <w:sz w:val="36"/>
          <w:szCs w:val="36"/>
        </w:rPr>
      </w:pPr>
      <w:r w:rsidRPr="00B8756E">
        <w:rPr>
          <w:rFonts w:cs="Arial"/>
          <w:b/>
          <w:sz w:val="36"/>
          <w:szCs w:val="36"/>
        </w:rPr>
        <w:t>PROJETO E INSTALAÇÃO DE SUBESTAÇÃO A</w:t>
      </w:r>
      <w:r w:rsidR="00757117">
        <w:rPr>
          <w:rFonts w:cs="Arial"/>
          <w:b/>
          <w:sz w:val="36"/>
          <w:szCs w:val="36"/>
        </w:rPr>
        <w:t>BRIGADA</w:t>
      </w:r>
      <w:r w:rsidRPr="00B8756E">
        <w:rPr>
          <w:rFonts w:cs="Arial"/>
          <w:b/>
          <w:sz w:val="36"/>
          <w:szCs w:val="36"/>
        </w:rPr>
        <w:t xml:space="preserve"> DE </w:t>
      </w:r>
      <w:r w:rsidR="00297D90">
        <w:rPr>
          <w:rFonts w:cs="Arial"/>
          <w:b/>
          <w:sz w:val="36"/>
          <w:szCs w:val="36"/>
        </w:rPr>
        <w:t>5</w:t>
      </w:r>
      <w:r w:rsidR="00757117">
        <w:rPr>
          <w:rFonts w:cs="Arial"/>
          <w:b/>
          <w:sz w:val="36"/>
          <w:szCs w:val="36"/>
        </w:rPr>
        <w:t>0</w:t>
      </w:r>
      <w:r w:rsidR="007457F1">
        <w:rPr>
          <w:rFonts w:cs="Arial"/>
          <w:b/>
          <w:sz w:val="36"/>
          <w:szCs w:val="36"/>
        </w:rPr>
        <w:t>0</w:t>
      </w:r>
      <w:r w:rsidRPr="00B8756E">
        <w:rPr>
          <w:rFonts w:cs="Arial"/>
          <w:b/>
          <w:sz w:val="36"/>
          <w:szCs w:val="36"/>
        </w:rPr>
        <w:t xml:space="preserve"> kVA</w:t>
      </w:r>
    </w:p>
    <w:p w14:paraId="72A3D3EC" w14:textId="77777777" w:rsidR="00842393" w:rsidRPr="00B8756E" w:rsidRDefault="00842393" w:rsidP="00842393">
      <w:pPr>
        <w:spacing w:before="120" w:after="120"/>
        <w:jc w:val="center"/>
        <w:rPr>
          <w:rFonts w:cs="Arial"/>
          <w:sz w:val="36"/>
          <w:szCs w:val="36"/>
          <w:highlight w:val="yellow"/>
        </w:rPr>
      </w:pPr>
    </w:p>
    <w:p w14:paraId="775D7506" w14:textId="2433D4E6" w:rsidR="00842393" w:rsidRPr="00B8756E" w:rsidRDefault="007457F1" w:rsidP="006C1262">
      <w:pPr>
        <w:spacing w:before="120" w:after="120"/>
        <w:ind w:firstLine="0"/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PROCURADORIA GERAL DA JUSTIÇA</w:t>
      </w:r>
      <w:r w:rsidR="006C1262">
        <w:rPr>
          <w:rFonts w:cs="Arial"/>
          <w:sz w:val="36"/>
          <w:szCs w:val="36"/>
        </w:rPr>
        <w:t xml:space="preserve"> (PGJ)</w:t>
      </w:r>
      <w:r>
        <w:rPr>
          <w:rFonts w:cs="Arial"/>
          <w:sz w:val="36"/>
          <w:szCs w:val="36"/>
        </w:rPr>
        <w:t xml:space="preserve"> – PROMOTORIA DO MUNICÍPIO DE OLINDA</w:t>
      </w:r>
    </w:p>
    <w:p w14:paraId="0D0B940D" w14:textId="388138F9" w:rsidR="00842393" w:rsidRDefault="00842393" w:rsidP="00842393">
      <w:pPr>
        <w:spacing w:before="120" w:after="120"/>
        <w:rPr>
          <w:rFonts w:cs="Arial"/>
          <w:highlight w:val="yellow"/>
        </w:rPr>
      </w:pPr>
    </w:p>
    <w:p w14:paraId="50738811" w14:textId="7B37C552" w:rsidR="00CA6A13" w:rsidRDefault="00CA6A13" w:rsidP="00842393">
      <w:pPr>
        <w:spacing w:before="120" w:after="120"/>
        <w:rPr>
          <w:rFonts w:cs="Arial"/>
          <w:highlight w:val="yellow"/>
        </w:rPr>
      </w:pPr>
    </w:p>
    <w:p w14:paraId="2599D021" w14:textId="18D246DA" w:rsidR="00CA6A13" w:rsidRDefault="00CA6A13" w:rsidP="00842393">
      <w:pPr>
        <w:spacing w:before="120" w:after="120"/>
        <w:rPr>
          <w:rFonts w:cs="Arial"/>
          <w:highlight w:val="yellow"/>
        </w:rPr>
      </w:pPr>
    </w:p>
    <w:p w14:paraId="55F4C9E6" w14:textId="2AF258F1" w:rsidR="00CA6A13" w:rsidRDefault="00CA6A13" w:rsidP="00842393">
      <w:pPr>
        <w:spacing w:before="120" w:after="120"/>
        <w:rPr>
          <w:rFonts w:cs="Arial"/>
          <w:highlight w:val="yellow"/>
        </w:rPr>
      </w:pPr>
    </w:p>
    <w:p w14:paraId="2E4AEDF8" w14:textId="77777777" w:rsidR="00CA6A13" w:rsidRPr="00B8756E" w:rsidRDefault="00CA6A13" w:rsidP="00842393">
      <w:pPr>
        <w:spacing w:before="120" w:after="120"/>
        <w:rPr>
          <w:rFonts w:cs="Arial"/>
          <w:highlight w:val="yellow"/>
        </w:rPr>
      </w:pPr>
    </w:p>
    <w:p w14:paraId="7612062A" w14:textId="55DA732C" w:rsidR="00842393" w:rsidRPr="00B8756E" w:rsidRDefault="004642DF" w:rsidP="00CA6A13">
      <w:pPr>
        <w:spacing w:before="60" w:after="60"/>
        <w:jc w:val="right"/>
        <w:rPr>
          <w:rFonts w:cs="Arial"/>
          <w:i/>
        </w:rPr>
      </w:pPr>
      <w:r>
        <w:rPr>
          <w:rFonts w:cs="Arial"/>
          <w:i/>
        </w:rPr>
        <w:t>V0</w:t>
      </w:r>
      <w:r w:rsidR="00CA6A13">
        <w:rPr>
          <w:rFonts w:cs="Arial"/>
          <w:i/>
        </w:rPr>
        <w:t>2</w:t>
      </w:r>
      <w:r w:rsidR="00842393" w:rsidRPr="00B8756E">
        <w:rPr>
          <w:rFonts w:cs="Arial"/>
          <w:i/>
        </w:rPr>
        <w:t xml:space="preserve"> </w:t>
      </w:r>
      <w:r w:rsidR="00072837">
        <w:rPr>
          <w:rFonts w:cs="Arial"/>
          <w:i/>
        </w:rPr>
        <w:t>–</w:t>
      </w:r>
      <w:r w:rsidR="00842393" w:rsidRPr="00B8756E">
        <w:rPr>
          <w:rFonts w:cs="Arial"/>
          <w:i/>
        </w:rPr>
        <w:t xml:space="preserve"> </w:t>
      </w:r>
      <w:r w:rsidR="006F16FC">
        <w:rPr>
          <w:rFonts w:cs="Arial"/>
          <w:i/>
        </w:rPr>
        <w:t>MAR</w:t>
      </w:r>
      <w:r w:rsidR="00072837">
        <w:rPr>
          <w:rFonts w:cs="Arial"/>
          <w:i/>
        </w:rPr>
        <w:t>/</w:t>
      </w:r>
      <w:r w:rsidR="00842393" w:rsidRPr="00B8756E">
        <w:rPr>
          <w:rFonts w:cs="Arial"/>
          <w:i/>
        </w:rPr>
        <w:t>20</w:t>
      </w:r>
      <w:r w:rsidR="00297D90">
        <w:rPr>
          <w:rFonts w:cs="Arial"/>
          <w:i/>
        </w:rPr>
        <w:t>2</w:t>
      </w:r>
      <w:r w:rsidR="007457F1">
        <w:rPr>
          <w:rFonts w:cs="Arial"/>
          <w:i/>
        </w:rPr>
        <w:t>1</w:t>
      </w:r>
    </w:p>
    <w:p w14:paraId="0E27B00A" w14:textId="77777777" w:rsidR="00725C35" w:rsidRDefault="00725C35" w:rsidP="00842393"/>
    <w:p w14:paraId="60061E4C" w14:textId="77777777" w:rsidR="00725C35" w:rsidRDefault="00725C35" w:rsidP="00725C35">
      <w:pPr>
        <w:jc w:val="center"/>
      </w:pPr>
    </w:p>
    <w:p w14:paraId="44EAFD9C" w14:textId="77777777" w:rsidR="00725C35" w:rsidRDefault="00725C35" w:rsidP="00725C35"/>
    <w:p w14:paraId="4B94D5A5" w14:textId="77777777" w:rsidR="00842393" w:rsidRPr="00725C35" w:rsidRDefault="00842393" w:rsidP="00725C35">
      <w:pPr>
        <w:sectPr w:rsidR="00842393" w:rsidRPr="00725C35">
          <w:headerReference w:type="default" r:id="rId11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sdt>
      <w:sdtPr>
        <w:rPr>
          <w:rFonts w:ascii="Arial" w:eastAsiaTheme="minorHAnsi" w:hAnsi="Arial" w:cstheme="minorBidi"/>
          <w:b w:val="0"/>
          <w:i w:val="0"/>
          <w:color w:val="auto"/>
          <w:sz w:val="24"/>
          <w:szCs w:val="22"/>
          <w:lang w:eastAsia="en-US"/>
        </w:rPr>
        <w:id w:val="-1788270117"/>
        <w:docPartObj>
          <w:docPartGallery w:val="Table of Contents"/>
          <w:docPartUnique/>
        </w:docPartObj>
      </w:sdtPr>
      <w:sdtEndPr>
        <w:rPr>
          <w:rFonts w:ascii="Times New Roman" w:hAnsi="Times New Roman"/>
          <w:bCs/>
        </w:rPr>
      </w:sdtEndPr>
      <w:sdtContent>
        <w:p w14:paraId="44A1A359" w14:textId="77777777" w:rsidR="00F12EB1" w:rsidRPr="00F12EB1" w:rsidRDefault="00F12EB1" w:rsidP="00F12EB1">
          <w:pPr>
            <w:pStyle w:val="CabealhodoSumrio"/>
            <w:jc w:val="center"/>
            <w:rPr>
              <w:rFonts w:ascii="Arial" w:hAnsi="Arial" w:cs="Arial"/>
              <w:b w:val="0"/>
              <w:color w:val="auto"/>
            </w:rPr>
          </w:pPr>
          <w:r w:rsidRPr="00F12EB1">
            <w:rPr>
              <w:rFonts w:ascii="Arial" w:hAnsi="Arial" w:cs="Arial"/>
              <w:color w:val="auto"/>
            </w:rPr>
            <w:t>SUMÁRIO</w:t>
          </w:r>
        </w:p>
        <w:p w14:paraId="341E4D9F" w14:textId="1E3CF89E" w:rsidR="0018031A" w:rsidRDefault="00F12EB1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6710186" w:history="1">
            <w:r w:rsidR="0018031A" w:rsidRPr="00B55F6F">
              <w:rPr>
                <w:rStyle w:val="Hyperlink"/>
                <w:noProof/>
              </w:rPr>
              <w:t>1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OBJETIVO E IDENTIFICAÇÃO: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_Toc66710186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3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099493B9" w14:textId="44530D9E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87" w:history="1">
            <w:r w:rsidR="0018031A" w:rsidRPr="00B55F6F">
              <w:rPr>
                <w:rStyle w:val="Hyperlink"/>
                <w:noProof/>
              </w:rPr>
              <w:t>2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LOCALIZAÇÃO: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_Toc66710187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3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23F3D436" w14:textId="65B10E2E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88" w:history="1">
            <w:r w:rsidR="0018031A" w:rsidRPr="00B55F6F">
              <w:rPr>
                <w:rStyle w:val="Hyperlink"/>
                <w:noProof/>
              </w:rPr>
              <w:t>3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PONTO DE DERIVAÇÃO E PONTO DE REFERÊNCIA: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_Toc66710188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3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5C20D157" w14:textId="7E2DA23F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89" w:history="1">
            <w:r w:rsidR="0018031A" w:rsidRPr="00B55F6F">
              <w:rPr>
                <w:rStyle w:val="Hyperlink"/>
                <w:noProof/>
              </w:rPr>
              <w:t>4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CARACTERÍSTICAS DA SUBESTAÇÃO: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_Toc66710189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4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720BD982" w14:textId="01E90D1A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0" w:history="1">
            <w:r w:rsidR="0018031A" w:rsidRPr="00B55F6F">
              <w:rPr>
                <w:rStyle w:val="Hyperlink"/>
                <w:noProof/>
              </w:rPr>
              <w:t>5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CÁLCULO E DIMENSIONAMENTO MECÂNICO DO POSTE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_Toc66710190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6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4BA44770" w14:textId="448B34FF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1" w:history="1">
            <w:r w:rsidR="0018031A" w:rsidRPr="00B55F6F">
              <w:rPr>
                <w:rStyle w:val="Hyperlink"/>
                <w:noProof/>
              </w:rPr>
              <w:t>6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PROTEÇÃO E MEDIÇÃO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_Toc66710191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8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78556D39" w14:textId="79CABC59" w:rsidR="0018031A" w:rsidRDefault="00934AD0" w:rsidP="001F7E28">
          <w:pPr>
            <w:pStyle w:val="Sumrio2"/>
            <w:tabs>
              <w:tab w:val="left" w:pos="1540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2" w:history="1">
            <w:r w:rsidR="0018031A" w:rsidRPr="00B55F6F">
              <w:rPr>
                <w:rStyle w:val="Hyperlink"/>
                <w:noProof/>
              </w:rPr>
              <w:t>6.1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</w:t>
            </w:r>
            <w:r w:rsidR="0018031A" w:rsidRPr="00B55F6F">
              <w:rPr>
                <w:rStyle w:val="Hyperlink"/>
                <w:noProof/>
              </w:rPr>
              <w:t>PROTEÇÃO PRIMÁRIA: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_Toc66710192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8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004C263D" w14:textId="3C34A3F6" w:rsidR="0018031A" w:rsidRDefault="00934AD0" w:rsidP="001F7E28">
          <w:pPr>
            <w:pStyle w:val="Sumrio2"/>
            <w:tabs>
              <w:tab w:val="left" w:pos="1540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3" w:history="1">
            <w:r w:rsidR="0018031A" w:rsidRPr="00B55F6F">
              <w:rPr>
                <w:rStyle w:val="Hyperlink"/>
                <w:noProof/>
              </w:rPr>
              <w:t>6.2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</w:t>
            </w:r>
            <w:r w:rsidR="0018031A" w:rsidRPr="00B55F6F">
              <w:rPr>
                <w:rStyle w:val="Hyperlink"/>
                <w:noProof/>
              </w:rPr>
              <w:t>MEDIÇÃO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_Toc66710193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9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04638F76" w14:textId="3701A4AF" w:rsidR="0018031A" w:rsidRDefault="00934AD0" w:rsidP="001F7E28">
          <w:pPr>
            <w:pStyle w:val="Sumrio3"/>
            <w:tabs>
              <w:tab w:val="left" w:pos="1889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4" w:history="1">
            <w:r w:rsidR="0018031A" w:rsidRPr="00B55F6F">
              <w:rPr>
                <w:rStyle w:val="Hyperlink"/>
                <w:noProof/>
              </w:rPr>
              <w:t>6.2.1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</w:t>
            </w:r>
            <w:r w:rsidR="0018031A" w:rsidRPr="00B55F6F">
              <w:rPr>
                <w:rStyle w:val="Hyperlink"/>
                <w:noProof/>
              </w:rPr>
              <w:t>Determinação da tubulação de descida até o quadro de medição.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_Toc66710194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10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7A83562A" w14:textId="61EDC9DF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5" w:history="1">
            <w:r w:rsidR="0018031A" w:rsidRPr="00B55F6F">
              <w:rPr>
                <w:rStyle w:val="Hyperlink"/>
                <w:noProof/>
              </w:rPr>
              <w:t>7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ATERRAMENTO: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_Toc66710195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10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1B8D8F98" w14:textId="6CFDA388" w:rsidR="0018031A" w:rsidRDefault="00934AD0" w:rsidP="001F7E28">
          <w:pPr>
            <w:pStyle w:val="Sumrio1"/>
            <w:spacing w:after="0"/>
            <w:ind w:left="1134" w:hanging="1134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6" w:history="1">
            <w:r w:rsidR="0018031A" w:rsidRPr="00B55F6F">
              <w:rPr>
                <w:rStyle w:val="Hyperlink"/>
                <w:noProof/>
              </w:rPr>
              <w:t>8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   </w:t>
            </w:r>
            <w:r w:rsidR="0018031A" w:rsidRPr="00B55F6F">
              <w:rPr>
                <w:rStyle w:val="Hyperlink"/>
                <w:noProof/>
              </w:rPr>
              <w:t>DEMANDA PREVISTA, CRONOGRMA PROVÁVEL E PROTEÇÃO</w:t>
            </w:r>
            <w:r w:rsidR="001F7E28">
              <w:rPr>
                <w:rStyle w:val="Hyperlink"/>
                <w:noProof/>
              </w:rPr>
              <w:t xml:space="preserve"> </w:t>
            </w:r>
            <w:r w:rsidR="0018031A" w:rsidRPr="00B55F6F">
              <w:rPr>
                <w:rStyle w:val="Hyperlink"/>
                <w:noProof/>
              </w:rPr>
              <w:t>SECUNDÁRIA: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_Toc66710196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11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20CA70FE" w14:textId="59770109" w:rsidR="0018031A" w:rsidRDefault="00934AD0" w:rsidP="001F7E28">
          <w:pPr>
            <w:pStyle w:val="Sumrio2"/>
            <w:tabs>
              <w:tab w:val="left" w:pos="1540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7" w:history="1">
            <w:r w:rsidR="0018031A" w:rsidRPr="00B55F6F">
              <w:rPr>
                <w:rStyle w:val="Hyperlink"/>
                <w:noProof/>
              </w:rPr>
              <w:t>8.1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 </w:t>
            </w:r>
            <w:r w:rsidR="0018031A" w:rsidRPr="00B55F6F">
              <w:rPr>
                <w:rStyle w:val="Hyperlink"/>
                <w:noProof/>
              </w:rPr>
              <w:t>Demanda prevista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_Toc66710197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11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115D91A6" w14:textId="376D266F" w:rsidR="0018031A" w:rsidRDefault="00934AD0" w:rsidP="001F7E28">
          <w:pPr>
            <w:pStyle w:val="Sumrio3"/>
            <w:tabs>
              <w:tab w:val="left" w:pos="1889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8" w:history="1">
            <w:r w:rsidR="0018031A" w:rsidRPr="00B55F6F">
              <w:rPr>
                <w:rStyle w:val="Hyperlink"/>
                <w:noProof/>
              </w:rPr>
              <w:t>8.1.1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</w:t>
            </w:r>
            <w:r w:rsidR="0018031A" w:rsidRPr="00B55F6F">
              <w:rPr>
                <w:rStyle w:val="Hyperlink"/>
                <w:noProof/>
              </w:rPr>
              <w:t>Determinação do cronograma de provável de utilização da demanda.</w:t>
            </w:r>
            <w:r w:rsidR="0018031A">
              <w:rPr>
                <w:noProof/>
                <w:webHidden/>
              </w:rPr>
              <w:tab/>
              <w:t xml:space="preserve">....... </w:t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_Toc66710198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13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4DA94AD2" w14:textId="55733600" w:rsidR="0018031A" w:rsidRDefault="00934AD0" w:rsidP="001F7E28">
          <w:pPr>
            <w:pStyle w:val="Sumrio2"/>
            <w:tabs>
              <w:tab w:val="left" w:pos="1540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199" w:history="1">
            <w:r w:rsidR="0018031A" w:rsidRPr="00B55F6F">
              <w:rPr>
                <w:rStyle w:val="Hyperlink"/>
                <w:noProof/>
              </w:rPr>
              <w:t>8.2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  </w:t>
            </w:r>
            <w:r w:rsidR="0018031A" w:rsidRPr="00B55F6F">
              <w:rPr>
                <w:rStyle w:val="Hyperlink"/>
                <w:noProof/>
              </w:rPr>
              <w:t>Determinação do condutor de descida até o quadro de medição.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_Toc66710199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13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72A838FF" w14:textId="345635F9" w:rsidR="0018031A" w:rsidRDefault="00934AD0" w:rsidP="001F7E28">
          <w:pPr>
            <w:pStyle w:val="Sumrio2"/>
            <w:tabs>
              <w:tab w:val="left" w:pos="1540"/>
              <w:tab w:val="right" w:leader="dot" w:pos="8494"/>
            </w:tabs>
            <w:spacing w:after="0"/>
            <w:ind w:left="0"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200" w:history="1">
            <w:r w:rsidR="0018031A" w:rsidRPr="00B55F6F">
              <w:rPr>
                <w:rStyle w:val="Hyperlink"/>
                <w:noProof/>
              </w:rPr>
              <w:t>8.3</w:t>
            </w:r>
            <w:r w:rsidR="001F7E28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 xml:space="preserve">                  </w:t>
            </w:r>
            <w:r w:rsidR="0018031A" w:rsidRPr="00B55F6F">
              <w:rPr>
                <w:rStyle w:val="Hyperlink"/>
                <w:noProof/>
              </w:rPr>
              <w:t>Determinação dos elementos de proteção em baixa tensão.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_Toc66710200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14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3A9F7F41" w14:textId="1302FEF7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201" w:history="1">
            <w:r w:rsidR="0018031A" w:rsidRPr="00B55F6F">
              <w:rPr>
                <w:rStyle w:val="Hyperlink"/>
                <w:noProof/>
              </w:rPr>
              <w:t>9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GERADOR: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_Toc66710201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14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13E1BAC1" w14:textId="6A255D2D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202" w:history="1">
            <w:r w:rsidR="0018031A" w:rsidRPr="00B55F6F">
              <w:rPr>
                <w:rStyle w:val="Hyperlink"/>
                <w:noProof/>
              </w:rPr>
              <w:t>10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DIVERGÊNCIAS: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_Toc66710202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14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55C6454B" w14:textId="18969B63" w:rsidR="0018031A" w:rsidRDefault="00934AD0" w:rsidP="001F7E28">
          <w:pPr>
            <w:pStyle w:val="Sumrio1"/>
            <w:spacing w:after="0"/>
            <w:ind w:firstLine="0"/>
            <w:jc w:val="left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66710203" w:history="1">
            <w:r w:rsidR="0018031A" w:rsidRPr="00B55F6F">
              <w:rPr>
                <w:rStyle w:val="Hyperlink"/>
                <w:noProof/>
              </w:rPr>
              <w:t>11</w:t>
            </w:r>
            <w:r w:rsidR="0018031A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18031A" w:rsidRPr="00B55F6F">
              <w:rPr>
                <w:rStyle w:val="Hyperlink"/>
                <w:noProof/>
              </w:rPr>
              <w:t>OBEDIÊNCIA AS NORMAS:</w:t>
            </w:r>
            <w:r w:rsidR="0018031A">
              <w:rPr>
                <w:noProof/>
                <w:webHidden/>
              </w:rPr>
              <w:tab/>
            </w:r>
            <w:r w:rsidR="0018031A">
              <w:rPr>
                <w:noProof/>
                <w:webHidden/>
              </w:rPr>
              <w:fldChar w:fldCharType="begin"/>
            </w:r>
            <w:r w:rsidR="0018031A">
              <w:rPr>
                <w:noProof/>
                <w:webHidden/>
              </w:rPr>
              <w:instrText xml:space="preserve"> PAGEREF _Toc66710203 \h </w:instrText>
            </w:r>
            <w:r w:rsidR="0018031A">
              <w:rPr>
                <w:noProof/>
                <w:webHidden/>
              </w:rPr>
            </w:r>
            <w:r w:rsidR="0018031A">
              <w:rPr>
                <w:noProof/>
                <w:webHidden/>
              </w:rPr>
              <w:fldChar w:fldCharType="separate"/>
            </w:r>
            <w:r w:rsidR="0018031A">
              <w:rPr>
                <w:noProof/>
                <w:webHidden/>
              </w:rPr>
              <w:t>14</w:t>
            </w:r>
            <w:r w:rsidR="0018031A">
              <w:rPr>
                <w:noProof/>
                <w:webHidden/>
              </w:rPr>
              <w:fldChar w:fldCharType="end"/>
            </w:r>
          </w:hyperlink>
        </w:p>
        <w:p w14:paraId="45FB0818" w14:textId="325D3D84" w:rsidR="00F12EB1" w:rsidRDefault="00F12EB1" w:rsidP="001F7E28">
          <w:pPr>
            <w:ind w:firstLine="0"/>
            <w:jc w:val="left"/>
          </w:pPr>
          <w:r>
            <w:rPr>
              <w:b/>
              <w:bCs/>
            </w:rPr>
            <w:fldChar w:fldCharType="end"/>
          </w:r>
        </w:p>
      </w:sdtContent>
    </w:sdt>
    <w:p w14:paraId="4B99056E" w14:textId="77777777" w:rsidR="00F12EB1" w:rsidRPr="00F12EB1" w:rsidRDefault="00F12EB1" w:rsidP="00F12EB1">
      <w:pPr>
        <w:tabs>
          <w:tab w:val="center" w:pos="4252"/>
        </w:tabs>
        <w:sectPr w:rsidR="00F12EB1" w:rsidRPr="00F12EB1">
          <w:headerReference w:type="defaul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ab/>
      </w:r>
    </w:p>
    <w:p w14:paraId="0C42F4F2" w14:textId="77777777" w:rsidR="000C066A" w:rsidRDefault="000C066A" w:rsidP="000C066A">
      <w:pPr>
        <w:pStyle w:val="Ttulo1"/>
      </w:pPr>
      <w:bookmarkStart w:id="0" w:name="_Toc66710186"/>
      <w:r w:rsidRPr="000C066A">
        <w:lastRenderedPageBreak/>
        <w:t>OBJETIVO E IDENTIFICAÇÃO:</w:t>
      </w:r>
      <w:bookmarkEnd w:id="0"/>
      <w:r w:rsidRPr="000C066A">
        <w:t xml:space="preserve"> </w:t>
      </w:r>
    </w:p>
    <w:p w14:paraId="6574B945" w14:textId="1230DB93" w:rsidR="000C066A" w:rsidRDefault="04522647" w:rsidP="04522647">
      <w:pPr>
        <w:ind w:firstLine="567"/>
        <w:rPr>
          <w:rFonts w:cs="Arial"/>
        </w:rPr>
      </w:pPr>
      <w:r w:rsidRPr="04522647">
        <w:rPr>
          <w:rFonts w:cs="Arial"/>
        </w:rPr>
        <w:t>Atender os requisitos da norma NOR.DISTRIBU-ENGE-0023 para o fornecimento</w:t>
      </w:r>
      <w:r w:rsidR="00B73A2D">
        <w:rPr>
          <w:rFonts w:cs="Arial"/>
        </w:rPr>
        <w:t xml:space="preserve"> de energia </w:t>
      </w:r>
      <w:r w:rsidR="00447D17">
        <w:rPr>
          <w:rFonts w:cs="Arial"/>
        </w:rPr>
        <w:t>elétrica nas novas</w:t>
      </w:r>
      <w:r w:rsidRPr="04522647">
        <w:rPr>
          <w:rFonts w:cs="Arial"/>
        </w:rPr>
        <w:t xml:space="preserve"> instalações elétricas </w:t>
      </w:r>
      <w:r w:rsidR="00447D17">
        <w:rPr>
          <w:rFonts w:cs="Arial"/>
        </w:rPr>
        <w:t>de</w:t>
      </w:r>
      <w:r w:rsidRPr="04522647">
        <w:rPr>
          <w:rFonts w:cs="Arial"/>
        </w:rPr>
        <w:t xml:space="preserve"> alta tensão da </w:t>
      </w:r>
      <w:r w:rsidR="00372B36">
        <w:rPr>
          <w:rFonts w:cs="Arial"/>
        </w:rPr>
        <w:t>construção da unidade da Procuradoria Geral da Justiça no município de Olinda</w:t>
      </w:r>
      <w:r w:rsidRPr="04522647">
        <w:rPr>
          <w:rFonts w:cs="Arial"/>
        </w:rPr>
        <w:t>, onde funciona</w:t>
      </w:r>
      <w:r w:rsidR="00EE17A2">
        <w:rPr>
          <w:rFonts w:cs="Arial"/>
        </w:rPr>
        <w:t>ra</w:t>
      </w:r>
      <w:r w:rsidRPr="04522647">
        <w:rPr>
          <w:rFonts w:cs="Arial"/>
        </w:rPr>
        <w:t xml:space="preserve"> a referida unidade consumidora, inscrito no </w:t>
      </w:r>
      <w:r w:rsidRPr="00372B36">
        <w:rPr>
          <w:rFonts w:cs="Arial"/>
        </w:rPr>
        <w:t xml:space="preserve">CNPJ </w:t>
      </w:r>
      <w:r w:rsidR="00372B36" w:rsidRPr="00372B36">
        <w:rPr>
          <w:rStyle w:val="text"/>
        </w:rPr>
        <w:t>24</w:t>
      </w:r>
      <w:r w:rsidR="00AA3221" w:rsidRPr="00372B36">
        <w:rPr>
          <w:rStyle w:val="text"/>
        </w:rPr>
        <w:t>.</w:t>
      </w:r>
      <w:r w:rsidR="00372B36" w:rsidRPr="00372B36">
        <w:rPr>
          <w:rStyle w:val="text"/>
        </w:rPr>
        <w:t>417</w:t>
      </w:r>
      <w:r w:rsidR="00AA3221" w:rsidRPr="00372B36">
        <w:rPr>
          <w:rStyle w:val="text"/>
        </w:rPr>
        <w:t>.</w:t>
      </w:r>
      <w:r w:rsidR="00372B36" w:rsidRPr="00372B36">
        <w:rPr>
          <w:rStyle w:val="text"/>
        </w:rPr>
        <w:t>065</w:t>
      </w:r>
      <w:r w:rsidR="00AA3221" w:rsidRPr="00372B36">
        <w:rPr>
          <w:rStyle w:val="text"/>
        </w:rPr>
        <w:t>/0001-1</w:t>
      </w:r>
      <w:r w:rsidR="00372B36" w:rsidRPr="00372B36">
        <w:rPr>
          <w:rStyle w:val="text"/>
        </w:rPr>
        <w:t>3</w:t>
      </w:r>
      <w:r w:rsidRPr="04522647">
        <w:rPr>
          <w:rFonts w:cs="Arial"/>
        </w:rPr>
        <w:t xml:space="preserve">, </w:t>
      </w:r>
      <w:r w:rsidR="00AA3221">
        <w:rPr>
          <w:rFonts w:cs="Arial"/>
        </w:rPr>
        <w:t xml:space="preserve">nova ligação </w:t>
      </w:r>
      <w:r w:rsidRPr="04522647">
        <w:rPr>
          <w:rFonts w:cs="Arial"/>
        </w:rPr>
        <w:t xml:space="preserve">de acordo </w:t>
      </w:r>
      <w:r w:rsidRPr="00CA6CB8">
        <w:rPr>
          <w:rFonts w:cs="Arial"/>
        </w:rPr>
        <w:t xml:space="preserve">com </w:t>
      </w:r>
      <w:r w:rsidRPr="04522647">
        <w:rPr>
          <w:rFonts w:cs="Arial"/>
        </w:rPr>
        <w:t xml:space="preserve">a respectiva norma para atender a unidade consumidora TRIFÁSICA COMERCIAL, com carga instalada </w:t>
      </w:r>
      <w:r w:rsidRPr="006E258B">
        <w:rPr>
          <w:rFonts w:cs="Arial"/>
        </w:rPr>
        <w:t xml:space="preserve">total de </w:t>
      </w:r>
      <w:r w:rsidR="006E258B" w:rsidRPr="006E258B">
        <w:rPr>
          <w:rFonts w:cs="Arial"/>
        </w:rPr>
        <w:t>3</w:t>
      </w:r>
      <w:r w:rsidR="00E20B35">
        <w:rPr>
          <w:rFonts w:cs="Arial"/>
        </w:rPr>
        <w:t>87</w:t>
      </w:r>
      <w:r w:rsidR="00925F9F" w:rsidRPr="006E258B">
        <w:rPr>
          <w:rFonts w:cs="Arial"/>
        </w:rPr>
        <w:t>,</w:t>
      </w:r>
      <w:r w:rsidR="00E20B35">
        <w:rPr>
          <w:rFonts w:cs="Arial"/>
        </w:rPr>
        <w:t>04</w:t>
      </w:r>
      <w:r w:rsidR="0014018E" w:rsidRPr="006E258B">
        <w:rPr>
          <w:rFonts w:cs="Arial"/>
        </w:rPr>
        <w:t xml:space="preserve"> </w:t>
      </w:r>
      <w:r w:rsidRPr="006E258B">
        <w:rPr>
          <w:rFonts w:cs="Arial"/>
        </w:rPr>
        <w:t>kW.</w:t>
      </w:r>
    </w:p>
    <w:p w14:paraId="72EC933A" w14:textId="77777777" w:rsidR="00782E6E" w:rsidRDefault="000C066A" w:rsidP="000C066A">
      <w:pPr>
        <w:pStyle w:val="Ttulo1"/>
      </w:pPr>
      <w:bookmarkStart w:id="1" w:name="_Toc66710187"/>
      <w:r w:rsidRPr="009C3BEA">
        <w:t>LOCALIZAÇÃO:</w:t>
      </w:r>
      <w:bookmarkEnd w:id="1"/>
      <w:r w:rsidRPr="009C3BEA">
        <w:t xml:space="preserve"> </w:t>
      </w:r>
    </w:p>
    <w:p w14:paraId="71506247" w14:textId="7D74A783" w:rsidR="00782E6E" w:rsidRPr="00BF61B7" w:rsidRDefault="00372B36" w:rsidP="00F845BC">
      <w:pPr>
        <w:rPr>
          <w:rFonts w:cs="Arial"/>
        </w:rPr>
      </w:pPr>
      <w:r>
        <w:rPr>
          <w:rFonts w:cs="Arial"/>
        </w:rPr>
        <w:t>A futura nova unidade consumidora está localizada no lote 2 A2, desmembramento da propriedade “FORNO DA CAL” na Av. Pan Nordestina, 1250, Vila popular, Olinda, Pernambuco, CEP.: 53.010-210.</w:t>
      </w:r>
    </w:p>
    <w:p w14:paraId="3EF0DF03" w14:textId="77777777" w:rsidR="000C066A" w:rsidRPr="009C3BEA" w:rsidRDefault="000C066A" w:rsidP="000C066A">
      <w:pPr>
        <w:pStyle w:val="Ttulo1"/>
      </w:pPr>
      <w:bookmarkStart w:id="2" w:name="_Toc66710188"/>
      <w:r w:rsidRPr="009C3BEA">
        <w:t>PONTO DE DERIVAÇÃO E PONTO DE REFERÊNCIA:</w:t>
      </w:r>
      <w:bookmarkEnd w:id="2"/>
      <w:r w:rsidRPr="009C3BEA">
        <w:t xml:space="preserve"> </w:t>
      </w:r>
    </w:p>
    <w:p w14:paraId="43919BB1" w14:textId="14446206" w:rsidR="00FE6214" w:rsidRDefault="3A4D47D0" w:rsidP="00FE6214">
      <w:pPr>
        <w:ind w:firstLine="567"/>
        <w:rPr>
          <w:rFonts w:cs="Arial"/>
        </w:rPr>
      </w:pPr>
      <w:r w:rsidRPr="3A4D47D0">
        <w:rPr>
          <w:rFonts w:cs="Arial"/>
        </w:rPr>
        <w:t>Como se trata de uma</w:t>
      </w:r>
      <w:r w:rsidR="0017616E">
        <w:rPr>
          <w:rFonts w:cs="Arial"/>
        </w:rPr>
        <w:t xml:space="preserve"> nova</w:t>
      </w:r>
      <w:r w:rsidRPr="3A4D47D0">
        <w:rPr>
          <w:rFonts w:cs="Arial"/>
        </w:rPr>
        <w:t xml:space="preserve"> instalação a derivação </w:t>
      </w:r>
      <w:r w:rsidR="0017616E">
        <w:rPr>
          <w:rFonts w:cs="Arial"/>
        </w:rPr>
        <w:t>poderá ser</w:t>
      </w:r>
      <w:r w:rsidRPr="3A4D47D0">
        <w:rPr>
          <w:rFonts w:cs="Arial"/>
        </w:rPr>
        <w:t xml:space="preserve"> efetuada a partir da rede de distribuição trifásica existente em 13.</w:t>
      </w:r>
      <w:r w:rsidR="00316C18">
        <w:rPr>
          <w:rFonts w:cs="Arial"/>
        </w:rPr>
        <w:t>8 k</w:t>
      </w:r>
      <w:r w:rsidRPr="3A4D47D0">
        <w:rPr>
          <w:rFonts w:cs="Arial"/>
        </w:rPr>
        <w:t>V, onde o poste mais próximo</w:t>
      </w:r>
      <w:r w:rsidR="00372B36">
        <w:rPr>
          <w:rFonts w:cs="Arial"/>
        </w:rPr>
        <w:t>, com identificação,</w:t>
      </w:r>
      <w:r w:rsidRPr="3A4D47D0">
        <w:rPr>
          <w:rFonts w:cs="Arial"/>
        </w:rPr>
        <w:t xml:space="preserve"> da unidade é o de </w:t>
      </w:r>
      <w:r w:rsidRPr="00EF33FF">
        <w:rPr>
          <w:rFonts w:cs="Arial"/>
          <w:b/>
          <w:i/>
        </w:rPr>
        <w:t xml:space="preserve">n° </w:t>
      </w:r>
      <w:r w:rsidR="00372B36">
        <w:rPr>
          <w:rFonts w:cs="Arial"/>
          <w:b/>
          <w:i/>
        </w:rPr>
        <w:t>E023736</w:t>
      </w:r>
      <w:r w:rsidRPr="3A4D47D0">
        <w:rPr>
          <w:rFonts w:cs="Arial"/>
        </w:rPr>
        <w:t>. O acesso é pela</w:t>
      </w:r>
      <w:r w:rsidR="00721AD8">
        <w:rPr>
          <w:rFonts w:cs="Arial"/>
        </w:rPr>
        <w:t xml:space="preserve"> </w:t>
      </w:r>
      <w:r w:rsidR="00372B36">
        <w:rPr>
          <w:rFonts w:cs="Arial"/>
        </w:rPr>
        <w:t xml:space="preserve">Av. Pan Nordestina, 1250, Vila Popular, ao lado da concessionária de veículos </w:t>
      </w:r>
      <w:r w:rsidR="006C1262">
        <w:rPr>
          <w:rFonts w:cs="Arial"/>
        </w:rPr>
        <w:t>PATEO HIUNDAY</w:t>
      </w:r>
      <w:r w:rsidR="00316A3A">
        <w:rPr>
          <w:rFonts w:cs="Arial"/>
        </w:rPr>
        <w:t>.</w:t>
      </w:r>
    </w:p>
    <w:p w14:paraId="0BD27161" w14:textId="26FCBCDB" w:rsidR="00DB3651" w:rsidRDefault="00DB3651" w:rsidP="0032768E">
      <w:pPr>
        <w:keepNext/>
        <w:spacing w:line="240" w:lineRule="auto"/>
        <w:ind w:firstLine="0"/>
        <w:rPr>
          <w:sz w:val="20"/>
          <w:szCs w:val="20"/>
        </w:rPr>
      </w:pPr>
      <w:r>
        <w:rPr>
          <w:rFonts w:cs="Arial"/>
          <w:noProof/>
        </w:rPr>
        <w:lastRenderedPageBreak/>
        <w:drawing>
          <wp:inline distT="0" distB="0" distL="0" distR="0" wp14:anchorId="73F55A0C" wp14:editId="03FB25D0">
            <wp:extent cx="5598814" cy="3219450"/>
            <wp:effectExtent l="0" t="0" r="1905" b="0"/>
            <wp:docPr id="3" name="Imagem 3" descr="Tela de jogo de vídeo game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Tela de jogo de vídeo game&#10;&#10;Descrição gerada automaticamente com confiança baix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820" cy="322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3651">
        <w:rPr>
          <w:sz w:val="20"/>
          <w:szCs w:val="20"/>
        </w:rPr>
        <w:t xml:space="preserve">Figura </w:t>
      </w:r>
      <w:r w:rsidRPr="00DB3651">
        <w:rPr>
          <w:sz w:val="20"/>
          <w:szCs w:val="20"/>
        </w:rPr>
        <w:fldChar w:fldCharType="begin"/>
      </w:r>
      <w:r w:rsidRPr="00DB3651">
        <w:rPr>
          <w:sz w:val="20"/>
          <w:szCs w:val="20"/>
        </w:rPr>
        <w:instrText xml:space="preserve"> SEQ Figura \* ARABIC </w:instrText>
      </w:r>
      <w:r w:rsidRPr="00DB3651">
        <w:rPr>
          <w:sz w:val="20"/>
          <w:szCs w:val="20"/>
        </w:rPr>
        <w:fldChar w:fldCharType="separate"/>
      </w:r>
      <w:r w:rsidR="0018031A">
        <w:rPr>
          <w:noProof/>
          <w:sz w:val="20"/>
          <w:szCs w:val="20"/>
        </w:rPr>
        <w:t>1</w:t>
      </w:r>
      <w:r w:rsidRPr="00DB3651">
        <w:rPr>
          <w:sz w:val="20"/>
          <w:szCs w:val="20"/>
        </w:rPr>
        <w:fldChar w:fldCharType="end"/>
      </w:r>
      <w:r w:rsidRPr="00DB3651">
        <w:rPr>
          <w:sz w:val="20"/>
          <w:szCs w:val="20"/>
        </w:rPr>
        <w:t xml:space="preserve"> - Localização da nova promotoria de Olinda, MPPE</w:t>
      </w:r>
    </w:p>
    <w:p w14:paraId="5ADDBD2E" w14:textId="07AF721E" w:rsidR="00DB3651" w:rsidRDefault="00DB3651" w:rsidP="00DB3651">
      <w:pPr>
        <w:keepNext/>
        <w:spacing w:line="240" w:lineRule="auto"/>
        <w:rPr>
          <w:sz w:val="20"/>
          <w:szCs w:val="20"/>
        </w:rPr>
      </w:pPr>
    </w:p>
    <w:p w14:paraId="22C8E8CA" w14:textId="2660F911" w:rsidR="00DB3651" w:rsidRDefault="00DB3651" w:rsidP="00DB3651">
      <w:r>
        <w:t>Coordenadas geográficas</w:t>
      </w:r>
      <w:r w:rsidR="00E30477">
        <w:t>:</w:t>
      </w:r>
    </w:p>
    <w:p w14:paraId="15AA6390" w14:textId="604239D0" w:rsidR="00DB3651" w:rsidRDefault="00DB3651" w:rsidP="00DB3651">
      <w:r>
        <w:t>Coordenada X (</w:t>
      </w:r>
      <w:r w:rsidR="00E30477">
        <w:t xml:space="preserve">longitude, </w:t>
      </w:r>
      <w:r>
        <w:t>UTM):</w:t>
      </w:r>
      <w:r w:rsidR="00E30477">
        <w:t xml:space="preserve"> </w:t>
      </w:r>
      <w:r w:rsidR="00E30477" w:rsidRPr="00E30477">
        <w:t>295101.18 m E</w:t>
      </w:r>
    </w:p>
    <w:p w14:paraId="28194C7B" w14:textId="70EBEFF2" w:rsidR="00DB3651" w:rsidRPr="009750A5" w:rsidRDefault="00DB3651" w:rsidP="00DB3651">
      <w:r>
        <w:t>Coordenada Y (</w:t>
      </w:r>
      <w:r w:rsidR="00E30477">
        <w:t xml:space="preserve">latitude, </w:t>
      </w:r>
      <w:r>
        <w:t>UTM):</w:t>
      </w:r>
      <w:r w:rsidR="00E30477">
        <w:t xml:space="preserve"> </w:t>
      </w:r>
      <w:r w:rsidR="00E30477" w:rsidRPr="00E30477">
        <w:t>9114159.94 m S</w:t>
      </w:r>
    </w:p>
    <w:p w14:paraId="3587C76A" w14:textId="57B1302A" w:rsidR="000C066A" w:rsidRPr="009C3BEA" w:rsidRDefault="000C066A" w:rsidP="00FE6214">
      <w:pPr>
        <w:pStyle w:val="Ttulo1"/>
      </w:pPr>
      <w:bookmarkStart w:id="3" w:name="_Toc66710189"/>
      <w:r w:rsidRPr="009C3BEA">
        <w:t>CARACTERÍSTICAS DA SUBESTAÇÃO:</w:t>
      </w:r>
      <w:bookmarkEnd w:id="3"/>
      <w:r w:rsidRPr="009C3BEA">
        <w:t xml:space="preserve"> </w:t>
      </w:r>
    </w:p>
    <w:p w14:paraId="039D1C5A" w14:textId="61E04C1C" w:rsidR="00FB2FAC" w:rsidRPr="009750A5" w:rsidRDefault="00FB2FAC" w:rsidP="00FB2FAC">
      <w:r w:rsidRPr="009750A5">
        <w:t xml:space="preserve">Com base nos cálculos do item </w:t>
      </w:r>
      <w:r w:rsidR="00A21755">
        <w:t>4.15</w:t>
      </w:r>
      <w:r w:rsidRPr="009750A5">
        <w:t>, será adotado o transformador, de acordo com o que estipula as normas da ABNT, com as seguintes características:</w:t>
      </w:r>
    </w:p>
    <w:p w14:paraId="3D555C3F" w14:textId="5E2168CB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 xml:space="preserve">Potência: </w:t>
      </w:r>
      <w:r w:rsidR="00297D90">
        <w:rPr>
          <w:b/>
          <w:i/>
        </w:rPr>
        <w:t>5</w:t>
      </w:r>
      <w:r w:rsidR="00372B36">
        <w:rPr>
          <w:b/>
          <w:i/>
        </w:rPr>
        <w:t>0</w:t>
      </w:r>
      <w:r w:rsidRPr="009750A5">
        <w:rPr>
          <w:b/>
          <w:i/>
        </w:rPr>
        <w:t>0</w:t>
      </w:r>
      <w:r w:rsidRPr="009750A5">
        <w:t xml:space="preserve"> kVA</w:t>
      </w:r>
    </w:p>
    <w:p w14:paraId="0EC0B588" w14:textId="21999A96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 xml:space="preserve">Quantidade: </w:t>
      </w:r>
      <w:r w:rsidRPr="009750A5">
        <w:rPr>
          <w:b/>
          <w:i/>
        </w:rPr>
        <w:t>0</w:t>
      </w:r>
      <w:r w:rsidR="00A21755">
        <w:rPr>
          <w:b/>
          <w:i/>
        </w:rPr>
        <w:t>1</w:t>
      </w:r>
      <w:r w:rsidRPr="009750A5">
        <w:t xml:space="preserve"> unid.</w:t>
      </w:r>
    </w:p>
    <w:p w14:paraId="1200D151" w14:textId="77777777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 xml:space="preserve">Tensão primária: </w:t>
      </w:r>
      <w:r w:rsidRPr="009750A5">
        <w:rPr>
          <w:b/>
          <w:i/>
        </w:rPr>
        <w:t>13,8 / 13,2 / 12,6 / 12,0 / 11,4</w:t>
      </w:r>
      <w:r w:rsidRPr="009750A5">
        <w:t xml:space="preserve"> kV</w:t>
      </w:r>
    </w:p>
    <w:p w14:paraId="446AB8AA" w14:textId="77777777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 xml:space="preserve">Tensão secundária: </w:t>
      </w:r>
      <w:r w:rsidRPr="009750A5">
        <w:rPr>
          <w:b/>
          <w:i/>
        </w:rPr>
        <w:t xml:space="preserve">0,38 / 0,22 </w:t>
      </w:r>
      <w:r w:rsidRPr="009750A5">
        <w:t>kV</w:t>
      </w:r>
    </w:p>
    <w:p w14:paraId="4D3B19FD" w14:textId="77777777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>Ligação primária: delta</w:t>
      </w:r>
    </w:p>
    <w:p w14:paraId="6F60DCA5" w14:textId="77777777" w:rsidR="00FB2FAC" w:rsidRPr="009750A5" w:rsidRDefault="00FB2FAC" w:rsidP="0032768E">
      <w:pPr>
        <w:pStyle w:val="PargrafodaLista"/>
        <w:numPr>
          <w:ilvl w:val="0"/>
          <w:numId w:val="13"/>
        </w:numPr>
        <w:rPr>
          <w:b/>
          <w:i/>
        </w:rPr>
      </w:pPr>
      <w:r w:rsidRPr="009750A5">
        <w:t xml:space="preserve">Ligação secundária: </w:t>
      </w:r>
      <w:r w:rsidRPr="009750A5">
        <w:rPr>
          <w:b/>
          <w:i/>
        </w:rPr>
        <w:t>estrela com o neutro aterrado</w:t>
      </w:r>
    </w:p>
    <w:p w14:paraId="71FD88B2" w14:textId="7EDCEE53" w:rsidR="00FB2FAC" w:rsidRPr="00F22346" w:rsidRDefault="00FB2FAC" w:rsidP="0032768E">
      <w:pPr>
        <w:pStyle w:val="PargrafodaLista"/>
        <w:numPr>
          <w:ilvl w:val="0"/>
          <w:numId w:val="13"/>
        </w:numPr>
      </w:pPr>
      <w:r w:rsidRPr="00F22346">
        <w:t xml:space="preserve">Refrigeração: </w:t>
      </w:r>
      <w:r w:rsidR="00F22346" w:rsidRPr="00F22346">
        <w:rPr>
          <w:b/>
          <w:i/>
        </w:rPr>
        <w:t>à seco</w:t>
      </w:r>
    </w:p>
    <w:p w14:paraId="2671FE17" w14:textId="1E31F2BC" w:rsidR="00FB2FAC" w:rsidRPr="009750A5" w:rsidRDefault="001249C7" w:rsidP="0032768E">
      <w:pPr>
        <w:pStyle w:val="PargrafodaLista"/>
        <w:numPr>
          <w:ilvl w:val="0"/>
          <w:numId w:val="13"/>
        </w:numPr>
      </w:pPr>
      <w:r w:rsidRPr="009750A5">
        <w:t>Frequência</w:t>
      </w:r>
      <w:r w:rsidR="00FB2FAC" w:rsidRPr="009750A5">
        <w:t xml:space="preserve">: </w:t>
      </w:r>
      <w:r w:rsidR="00FB2FAC" w:rsidRPr="009750A5">
        <w:rPr>
          <w:b/>
          <w:i/>
        </w:rPr>
        <w:t>60</w:t>
      </w:r>
      <w:r w:rsidR="00FB2FAC" w:rsidRPr="009750A5">
        <w:t xml:space="preserve"> Hz</w:t>
      </w:r>
    </w:p>
    <w:p w14:paraId="7E2D81B5" w14:textId="64BA6F52" w:rsidR="00FB2FAC" w:rsidRPr="009750A5" w:rsidRDefault="00FB2FAC" w:rsidP="0032768E">
      <w:pPr>
        <w:pStyle w:val="PargrafodaLista"/>
        <w:numPr>
          <w:ilvl w:val="0"/>
          <w:numId w:val="13"/>
        </w:numPr>
      </w:pPr>
      <w:r w:rsidRPr="009750A5">
        <w:t xml:space="preserve">Impedância: </w:t>
      </w:r>
      <w:r w:rsidR="00E30477">
        <w:rPr>
          <w:b/>
          <w:i/>
        </w:rPr>
        <w:t>4</w:t>
      </w:r>
      <w:r w:rsidRPr="00F22346">
        <w:rPr>
          <w:b/>
          <w:i/>
        </w:rPr>
        <w:t>,</w:t>
      </w:r>
      <w:r w:rsidR="00E30477">
        <w:rPr>
          <w:b/>
          <w:i/>
        </w:rPr>
        <w:t>5</w:t>
      </w:r>
      <w:r w:rsidR="00F22346" w:rsidRPr="00F22346">
        <w:rPr>
          <w:b/>
          <w:i/>
        </w:rPr>
        <w:t>0</w:t>
      </w:r>
      <w:r w:rsidRPr="00F22346">
        <w:t xml:space="preserve"> %</w:t>
      </w:r>
    </w:p>
    <w:p w14:paraId="32D5F64A" w14:textId="3530B4D3" w:rsidR="00FB2FAC" w:rsidRPr="009750A5" w:rsidRDefault="00FB2FAC" w:rsidP="00FB2FAC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Os cubículos de transformação, proteção e seccionamento e medição estão alocadas em edificação própria de alvenaria de blocos </w:t>
      </w:r>
      <w:r w:rsidR="0035431F">
        <w:rPr>
          <w:rFonts w:cs="Arial"/>
        </w:rPr>
        <w:t>cerâmicos</w:t>
      </w:r>
      <w:r w:rsidRPr="009750A5">
        <w:rPr>
          <w:rFonts w:cs="Arial"/>
        </w:rPr>
        <w:t>, estrutura de pilares e vigas e cobertura em laje de concreto.</w:t>
      </w:r>
    </w:p>
    <w:p w14:paraId="55564056" w14:textId="77777777" w:rsidR="00FB2FAC" w:rsidRPr="009750A5" w:rsidRDefault="00FB2FAC" w:rsidP="00FB2FAC">
      <w:pPr>
        <w:spacing w:before="120" w:after="120"/>
        <w:rPr>
          <w:rFonts w:cs="Arial"/>
        </w:rPr>
      </w:pPr>
      <w:r w:rsidRPr="009750A5">
        <w:rPr>
          <w:rFonts w:cs="Arial"/>
        </w:rPr>
        <w:lastRenderedPageBreak/>
        <w:t>A edificação é composta de:</w:t>
      </w:r>
    </w:p>
    <w:p w14:paraId="68EEF9B5" w14:textId="6243B455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Portas metálicas: </w:t>
      </w:r>
      <w:r w:rsidRPr="009750A5">
        <w:rPr>
          <w:rFonts w:cs="Arial"/>
          <w:b/>
          <w:i/>
        </w:rPr>
        <w:t>01 de 1</w:t>
      </w:r>
      <w:r w:rsidR="00E30477">
        <w:rPr>
          <w:rFonts w:cs="Arial"/>
          <w:b/>
          <w:i/>
        </w:rPr>
        <w:t>82</w:t>
      </w:r>
      <w:r w:rsidRPr="009750A5">
        <w:rPr>
          <w:rFonts w:cs="Arial"/>
          <w:b/>
          <w:i/>
        </w:rPr>
        <w:t>0 x 2</w:t>
      </w:r>
      <w:r w:rsidR="00E30477">
        <w:rPr>
          <w:rFonts w:cs="Arial"/>
          <w:b/>
          <w:i/>
        </w:rPr>
        <w:t>77</w:t>
      </w:r>
      <w:r w:rsidRPr="009750A5">
        <w:rPr>
          <w:rFonts w:cs="Arial"/>
          <w:b/>
          <w:i/>
        </w:rPr>
        <w:t>0 mm</w:t>
      </w:r>
      <w:r w:rsidRPr="009750A5">
        <w:rPr>
          <w:rFonts w:cs="Arial"/>
        </w:rPr>
        <w:t xml:space="preserve">, sendo ambas com aberturas para </w:t>
      </w:r>
      <w:r w:rsidR="00BB573A">
        <w:rPr>
          <w:rFonts w:cs="Arial"/>
        </w:rPr>
        <w:t>fora</w:t>
      </w:r>
      <w:r w:rsidRPr="009750A5">
        <w:rPr>
          <w:rFonts w:cs="Arial"/>
        </w:rPr>
        <w:t>;</w:t>
      </w:r>
    </w:p>
    <w:p w14:paraId="32EE861F" w14:textId="3240ACDB" w:rsidR="00FB2FAC" w:rsidRPr="009750A5" w:rsidRDefault="00FB2FAC" w:rsidP="00FB2FAC">
      <w:pPr>
        <w:pStyle w:val="PargrafodaLista"/>
        <w:numPr>
          <w:ilvl w:val="0"/>
          <w:numId w:val="9"/>
        </w:numPr>
        <w:spacing w:before="120" w:after="120"/>
        <w:rPr>
          <w:rFonts w:cs="Arial"/>
          <w:i/>
        </w:rPr>
      </w:pPr>
      <w:r w:rsidRPr="009750A5">
        <w:rPr>
          <w:rFonts w:cs="Arial"/>
          <w:i/>
        </w:rPr>
        <w:t xml:space="preserve">A edificação da subestação possuíra aberturas de ventilação de modo a obter refrigeração e iluminação naturais. A abertura de ventilação terá </w:t>
      </w:r>
      <w:r w:rsidR="00E30477">
        <w:rPr>
          <w:rFonts w:cs="Arial"/>
          <w:i/>
        </w:rPr>
        <w:t>900</w:t>
      </w:r>
      <w:r w:rsidRPr="009750A5">
        <w:rPr>
          <w:rFonts w:cs="Arial"/>
          <w:i/>
        </w:rPr>
        <w:t xml:space="preserve"> x </w:t>
      </w:r>
      <w:r w:rsidR="00E30477">
        <w:rPr>
          <w:rFonts w:cs="Arial"/>
          <w:i/>
        </w:rPr>
        <w:t>6</w:t>
      </w:r>
      <w:r w:rsidRPr="009750A5">
        <w:rPr>
          <w:rFonts w:cs="Arial"/>
          <w:i/>
        </w:rPr>
        <w:t>00 m,</w:t>
      </w:r>
      <w:r w:rsidR="00960FD6">
        <w:rPr>
          <w:rFonts w:cs="Arial"/>
          <w:i/>
        </w:rPr>
        <w:t xml:space="preserve"> em “V” invertido,</w:t>
      </w:r>
      <w:r w:rsidRPr="009750A5">
        <w:rPr>
          <w:rFonts w:cs="Arial"/>
          <w:i/>
        </w:rPr>
        <w:t xml:space="preserve"> protegida por telha em malha de 13 mm, feita em arame galvanizado de 12 AWG. </w:t>
      </w:r>
    </w:p>
    <w:p w14:paraId="039C2649" w14:textId="10896068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Cubículo para o transformador, com dimensões </w:t>
      </w:r>
      <w:r w:rsidRPr="009750A5">
        <w:rPr>
          <w:rFonts w:cs="Arial"/>
          <w:b/>
          <w:i/>
        </w:rPr>
        <w:t>2</w:t>
      </w:r>
      <w:r w:rsidR="00960FD6">
        <w:rPr>
          <w:rFonts w:cs="Arial"/>
          <w:b/>
          <w:i/>
        </w:rPr>
        <w:t>350</w:t>
      </w:r>
      <w:r w:rsidRPr="009750A5">
        <w:rPr>
          <w:rFonts w:cs="Arial"/>
          <w:b/>
          <w:i/>
        </w:rPr>
        <w:t xml:space="preserve"> (L) x 2</w:t>
      </w:r>
      <w:r w:rsidR="00960FD6">
        <w:rPr>
          <w:rFonts w:cs="Arial"/>
          <w:b/>
          <w:i/>
        </w:rPr>
        <w:t>77</w:t>
      </w:r>
      <w:r w:rsidRPr="009750A5">
        <w:rPr>
          <w:rFonts w:cs="Arial"/>
          <w:b/>
          <w:i/>
        </w:rPr>
        <w:t>0 (C)</w:t>
      </w:r>
      <w:r w:rsidRPr="009750A5">
        <w:rPr>
          <w:rFonts w:cs="Arial"/>
        </w:rPr>
        <w:t xml:space="preserve"> </w:t>
      </w:r>
      <w:r w:rsidRPr="009750A5">
        <w:rPr>
          <w:rFonts w:cs="Arial"/>
          <w:b/>
          <w:i/>
        </w:rPr>
        <w:t>mm</w:t>
      </w:r>
      <w:r w:rsidRPr="009750A5">
        <w:rPr>
          <w:rFonts w:cs="Arial"/>
        </w:rPr>
        <w:t xml:space="preserve">. </w:t>
      </w:r>
      <w:r w:rsidRPr="009750A5">
        <w:rPr>
          <w:rFonts w:cs="Arial"/>
          <w:i/>
        </w:rPr>
        <w:t xml:space="preserve">O gradil do posto de transformação tem dimensões de </w:t>
      </w:r>
      <w:r w:rsidR="00DE26E0">
        <w:rPr>
          <w:rFonts w:cs="Arial"/>
          <w:i/>
        </w:rPr>
        <w:t>2</w:t>
      </w:r>
      <w:r w:rsidR="00960FD6">
        <w:rPr>
          <w:rFonts w:cs="Arial"/>
          <w:i/>
        </w:rPr>
        <w:t>285</w:t>
      </w:r>
      <w:r w:rsidRPr="009750A5">
        <w:rPr>
          <w:rFonts w:cs="Arial"/>
          <w:i/>
        </w:rPr>
        <w:t xml:space="preserve"> (L) x 2100 (A) mm, com abertura para fora, respeitando a largura mínima necessária para permitir a circulação de pessoas autorizadas e à instalação e retirada do equipamento.</w:t>
      </w:r>
    </w:p>
    <w:p w14:paraId="18757BE3" w14:textId="130B0FD1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>Cubículo</w:t>
      </w:r>
      <w:r w:rsidR="00AC0CFE">
        <w:rPr>
          <w:rFonts w:cs="Arial"/>
        </w:rPr>
        <w:t xml:space="preserve"> de</w:t>
      </w:r>
      <w:r w:rsidRPr="009750A5">
        <w:rPr>
          <w:rFonts w:cs="Arial"/>
        </w:rPr>
        <w:t xml:space="preserve"> </w:t>
      </w:r>
      <w:r w:rsidR="00AC0CFE">
        <w:rPr>
          <w:rFonts w:cs="Arial"/>
        </w:rPr>
        <w:t>p</w:t>
      </w:r>
      <w:r w:rsidRPr="009750A5">
        <w:rPr>
          <w:rFonts w:cs="Arial"/>
        </w:rPr>
        <w:t xml:space="preserve">roteção de seccionamento, com dimensão de </w:t>
      </w:r>
      <w:r w:rsidRPr="009750A5">
        <w:rPr>
          <w:rFonts w:cs="Arial"/>
          <w:b/>
          <w:i/>
        </w:rPr>
        <w:t>1840 (L) x 2800 (C) mm</w:t>
      </w:r>
      <w:r w:rsidRPr="009750A5">
        <w:rPr>
          <w:rFonts w:cs="Arial"/>
        </w:rPr>
        <w:t>.</w:t>
      </w:r>
      <w:r w:rsidRPr="009750A5">
        <w:rPr>
          <w:rFonts w:cs="Arial"/>
          <w:i/>
        </w:rPr>
        <w:t xml:space="preserve"> O gradil do posto de transformação tem dimensões de 1</w:t>
      </w:r>
      <w:r w:rsidR="002C455B">
        <w:rPr>
          <w:rFonts w:cs="Arial"/>
          <w:i/>
        </w:rPr>
        <w:t>800</w:t>
      </w:r>
      <w:r w:rsidRPr="009750A5">
        <w:rPr>
          <w:rFonts w:cs="Arial"/>
          <w:i/>
        </w:rPr>
        <w:t xml:space="preserve"> (L) x 2100 (A) </w:t>
      </w:r>
      <w:r w:rsidR="00953C68" w:rsidRPr="009750A5">
        <w:rPr>
          <w:rFonts w:cs="Arial"/>
          <w:i/>
        </w:rPr>
        <w:t>mm,</w:t>
      </w:r>
      <w:r w:rsidRPr="009750A5">
        <w:rPr>
          <w:rFonts w:cs="Arial"/>
          <w:i/>
        </w:rPr>
        <w:t xml:space="preserve"> com abertura para fora, respeitando a largura mínima necessária para permitir a circulação de pessoas autorizadas e à instalação e retirada do equipamento.</w:t>
      </w:r>
    </w:p>
    <w:p w14:paraId="6E1E843C" w14:textId="7F719E7E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Cubículo de Medição, com dimensões </w:t>
      </w:r>
      <w:r w:rsidRPr="009750A5">
        <w:rPr>
          <w:rFonts w:cs="Arial"/>
          <w:b/>
          <w:i/>
        </w:rPr>
        <w:t>18</w:t>
      </w:r>
      <w:r w:rsidR="00D03C84">
        <w:rPr>
          <w:rFonts w:cs="Arial"/>
          <w:b/>
          <w:i/>
        </w:rPr>
        <w:t>2</w:t>
      </w:r>
      <w:r w:rsidRPr="009750A5">
        <w:rPr>
          <w:rFonts w:cs="Arial"/>
          <w:b/>
          <w:i/>
        </w:rPr>
        <w:t>0 (L) x 2800 (C) mm</w:t>
      </w:r>
      <w:r w:rsidRPr="009750A5">
        <w:rPr>
          <w:rFonts w:cs="Arial"/>
        </w:rPr>
        <w:t xml:space="preserve"> </w:t>
      </w:r>
      <w:r w:rsidRPr="009750A5">
        <w:rPr>
          <w:rFonts w:cs="Arial"/>
          <w:i/>
        </w:rPr>
        <w:t>O gradil do posto de transformação tem dimensões de 1</w:t>
      </w:r>
      <w:r w:rsidR="00575B63">
        <w:rPr>
          <w:rFonts w:cs="Arial"/>
          <w:i/>
        </w:rPr>
        <w:t>780</w:t>
      </w:r>
      <w:r w:rsidRPr="009750A5">
        <w:rPr>
          <w:rFonts w:cs="Arial"/>
          <w:i/>
        </w:rPr>
        <w:t xml:space="preserve"> (L) x 2100 (A) mm, com abertura para fora, respeitando a largura mínima necessária para permitir a circulação de pessoas autorizadas e à instalação e retirada do equipamento</w:t>
      </w:r>
      <w:r>
        <w:rPr>
          <w:rFonts w:cs="Arial"/>
          <w:i/>
        </w:rPr>
        <w:t>.</w:t>
      </w:r>
    </w:p>
    <w:p w14:paraId="23C3EAA9" w14:textId="03A6694F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A área de Circulação é composta por um corredor com acesso aos cubículos de medição, disjunção e transformação de </w:t>
      </w:r>
      <w:r w:rsidR="00960FD6">
        <w:rPr>
          <w:rFonts w:cs="Arial"/>
          <w:b/>
          <w:i/>
        </w:rPr>
        <w:t>2200</w:t>
      </w:r>
      <w:r w:rsidRPr="009750A5">
        <w:rPr>
          <w:rFonts w:cs="Arial"/>
          <w:b/>
          <w:i/>
        </w:rPr>
        <w:t xml:space="preserve"> (L) x </w:t>
      </w:r>
      <w:r w:rsidR="00960FD6">
        <w:rPr>
          <w:rFonts w:cs="Arial"/>
          <w:b/>
          <w:i/>
        </w:rPr>
        <w:t>6310</w:t>
      </w:r>
      <w:r w:rsidRPr="009750A5">
        <w:rPr>
          <w:rFonts w:cs="Arial"/>
          <w:b/>
          <w:i/>
        </w:rPr>
        <w:t xml:space="preserve"> (C) mm</w:t>
      </w:r>
      <w:r w:rsidRPr="009750A5">
        <w:rPr>
          <w:rFonts w:cs="Arial"/>
        </w:rPr>
        <w:t>; e</w:t>
      </w:r>
    </w:p>
    <w:p w14:paraId="2E0E086C" w14:textId="77777777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Os cubículos oferecem um espaçamento mínimo de </w:t>
      </w:r>
      <w:r w:rsidRPr="009750A5">
        <w:rPr>
          <w:rFonts w:cs="Arial"/>
          <w:b/>
          <w:i/>
        </w:rPr>
        <w:t xml:space="preserve">600 mm </w:t>
      </w:r>
      <w:r w:rsidRPr="009750A5">
        <w:rPr>
          <w:rFonts w:cs="Arial"/>
        </w:rPr>
        <w:t>ao redor dos equipamentos para as atividades de operação/manobra e manutenções.</w:t>
      </w:r>
    </w:p>
    <w:p w14:paraId="6B65E575" w14:textId="24DEE4F7" w:rsidR="00FB2FAC" w:rsidRPr="009750A5" w:rsidRDefault="00FB2FAC" w:rsidP="00FB2FAC">
      <w:pPr>
        <w:numPr>
          <w:ilvl w:val="0"/>
          <w:numId w:val="9"/>
        </w:numPr>
        <w:spacing w:before="120" w:after="120"/>
        <w:rPr>
          <w:rFonts w:cs="Arial"/>
        </w:rPr>
      </w:pPr>
      <w:r w:rsidRPr="009750A5">
        <w:rPr>
          <w:rFonts w:cs="Arial"/>
        </w:rPr>
        <w:t xml:space="preserve">As dimensões da subestação são de: </w:t>
      </w:r>
      <w:r w:rsidR="00CC1946">
        <w:rPr>
          <w:rFonts w:cs="Arial"/>
          <w:b/>
          <w:i/>
        </w:rPr>
        <w:t>5</w:t>
      </w:r>
      <w:r w:rsidR="00960FD6">
        <w:rPr>
          <w:rFonts w:cs="Arial"/>
          <w:b/>
          <w:i/>
        </w:rPr>
        <w:t>000</w:t>
      </w:r>
      <w:r w:rsidRPr="009750A5">
        <w:rPr>
          <w:rFonts w:cs="Arial"/>
          <w:b/>
          <w:i/>
        </w:rPr>
        <w:t xml:space="preserve"> (L) x </w:t>
      </w:r>
      <w:r w:rsidR="00960FD6">
        <w:rPr>
          <w:rFonts w:cs="Arial"/>
          <w:b/>
          <w:i/>
        </w:rPr>
        <w:t>6310</w:t>
      </w:r>
      <w:r w:rsidRPr="009750A5">
        <w:rPr>
          <w:rFonts w:cs="Arial"/>
          <w:b/>
          <w:i/>
        </w:rPr>
        <w:t xml:space="preserve"> (C) mm</w:t>
      </w:r>
      <w:r w:rsidRPr="009750A5">
        <w:rPr>
          <w:rFonts w:cs="Arial"/>
        </w:rPr>
        <w:t xml:space="preserve">; Área Total de: </w:t>
      </w:r>
      <w:r w:rsidR="00960FD6">
        <w:rPr>
          <w:rFonts w:cs="Arial"/>
          <w:b/>
          <w:i/>
        </w:rPr>
        <w:t>3</w:t>
      </w:r>
      <w:r w:rsidR="007A2AC3">
        <w:rPr>
          <w:rFonts w:cs="Arial"/>
          <w:b/>
          <w:i/>
        </w:rPr>
        <w:t>1</w:t>
      </w:r>
      <w:r w:rsidRPr="009750A5">
        <w:rPr>
          <w:rFonts w:cs="Arial"/>
          <w:b/>
          <w:i/>
        </w:rPr>
        <w:t>,</w:t>
      </w:r>
      <w:r w:rsidR="00960FD6">
        <w:rPr>
          <w:rFonts w:cs="Arial"/>
          <w:b/>
          <w:i/>
        </w:rPr>
        <w:t>55</w:t>
      </w:r>
      <w:r w:rsidRPr="009750A5">
        <w:rPr>
          <w:rFonts w:cs="Arial"/>
          <w:b/>
          <w:i/>
        </w:rPr>
        <w:t xml:space="preserve"> m² e pé direito de </w:t>
      </w:r>
      <w:r w:rsidR="00960FD6">
        <w:rPr>
          <w:rFonts w:cs="Arial"/>
          <w:b/>
          <w:i/>
        </w:rPr>
        <w:t>2</w:t>
      </w:r>
      <w:r w:rsidR="000A780B">
        <w:rPr>
          <w:rFonts w:cs="Arial"/>
          <w:b/>
          <w:i/>
        </w:rPr>
        <w:t>,</w:t>
      </w:r>
      <w:r w:rsidR="00960FD6">
        <w:rPr>
          <w:rFonts w:cs="Arial"/>
          <w:b/>
          <w:i/>
        </w:rPr>
        <w:t>9</w:t>
      </w:r>
      <w:r w:rsidRPr="009750A5">
        <w:rPr>
          <w:rFonts w:cs="Arial"/>
          <w:b/>
          <w:i/>
        </w:rPr>
        <w:t xml:space="preserve">0 m, </w:t>
      </w:r>
      <w:r w:rsidRPr="009750A5">
        <w:rPr>
          <w:rFonts w:cs="Arial"/>
        </w:rPr>
        <w:t>localizada no pavimento térreo da unidade consumidora acima apenas dois degraus (32 cm) em relação ao pis</w:t>
      </w:r>
      <w:r>
        <w:rPr>
          <w:rFonts w:cs="Arial"/>
        </w:rPr>
        <w:t xml:space="preserve">o da área de produção </w:t>
      </w:r>
      <w:proofErr w:type="gramStart"/>
      <w:r>
        <w:rPr>
          <w:rFonts w:cs="Arial"/>
        </w:rPr>
        <w:t>da mesma</w:t>
      </w:r>
      <w:proofErr w:type="gramEnd"/>
      <w:r>
        <w:rPr>
          <w:rFonts w:cs="Arial"/>
        </w:rPr>
        <w:t>.</w:t>
      </w:r>
    </w:p>
    <w:p w14:paraId="3F20AB9F" w14:textId="77777777" w:rsidR="00FB2FAC" w:rsidRPr="009750A5" w:rsidRDefault="00FB2FAC" w:rsidP="00FB2FAC">
      <w:pPr>
        <w:spacing w:before="120" w:after="120"/>
        <w:rPr>
          <w:rFonts w:cs="Arial"/>
        </w:rPr>
      </w:pPr>
      <w:r w:rsidRPr="009750A5">
        <w:rPr>
          <w:rFonts w:cs="Arial"/>
        </w:rPr>
        <w:t>Todas as estruturas metálicas serão ligadas à malha de aterramento.</w:t>
      </w:r>
    </w:p>
    <w:p w14:paraId="6364BED0" w14:textId="7A2AF4A4" w:rsidR="00FB2FAC" w:rsidRPr="009750A5" w:rsidRDefault="00FB2FAC" w:rsidP="00FB2FAC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O piso da edificação possuirá conforme indicado em desenho </w:t>
      </w:r>
      <w:r w:rsidR="00960FD6">
        <w:rPr>
          <w:rFonts w:cs="Arial"/>
          <w:b/>
          <w:i/>
        </w:rPr>
        <w:t>01</w:t>
      </w:r>
      <w:r w:rsidRPr="009750A5">
        <w:rPr>
          <w:rFonts w:cs="Arial"/>
          <w:b/>
          <w:i/>
        </w:rPr>
        <w:t>_0</w:t>
      </w:r>
      <w:r w:rsidR="00732264">
        <w:rPr>
          <w:rFonts w:cs="Arial"/>
          <w:b/>
          <w:i/>
        </w:rPr>
        <w:t>2</w:t>
      </w:r>
      <w:r w:rsidRPr="009750A5">
        <w:rPr>
          <w:rFonts w:cs="Arial"/>
        </w:rPr>
        <w:t xml:space="preserve">, inclinação de 2% para escoamento de águas provenientes de chuvas ou limpeza do ambiente. </w:t>
      </w:r>
    </w:p>
    <w:p w14:paraId="2AF9196A" w14:textId="77777777" w:rsidR="00FB2FAC" w:rsidRPr="009750A5" w:rsidRDefault="00FB2FAC" w:rsidP="00FB2FAC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lastRenderedPageBreak/>
        <w:t>A cobertura da edificação será impermeabilizada, tendo em vista a proteção dos equipamentos contra intempéries e inclinação para o escoamento da água de 1%.</w:t>
      </w:r>
    </w:p>
    <w:p w14:paraId="3150C7E8" w14:textId="77777777" w:rsidR="00FB2FAC" w:rsidRPr="009750A5" w:rsidRDefault="00FB2FAC" w:rsidP="00FB2FAC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>Serão fixadas placas de advertência em locais externos e internos, possíveis de acesso de pessoas.</w:t>
      </w:r>
    </w:p>
    <w:p w14:paraId="0311E54E" w14:textId="7D0FA4B4" w:rsidR="00FB2FAC" w:rsidRPr="009750A5" w:rsidRDefault="00FB2FAC" w:rsidP="00FB2FAC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A edificação </w:t>
      </w:r>
      <w:r w:rsidR="001F4EF2">
        <w:rPr>
          <w:rFonts w:cs="Arial"/>
        </w:rPr>
        <w:t>não necessitara de</w:t>
      </w:r>
      <w:r w:rsidRPr="009750A5">
        <w:rPr>
          <w:rFonts w:cs="Arial"/>
        </w:rPr>
        <w:t xml:space="preserve"> sistema de drenagem para o óleo isolante, originada a partir dos cubículos de transformação</w:t>
      </w:r>
      <w:r w:rsidR="001F4EF2">
        <w:rPr>
          <w:rFonts w:cs="Arial"/>
        </w:rPr>
        <w:t xml:space="preserve"> visto que os equipamentos a serem utilizados </w:t>
      </w:r>
      <w:r w:rsidR="003E7BB4">
        <w:rPr>
          <w:rFonts w:cs="Arial"/>
        </w:rPr>
        <w:t>t</w:t>
      </w:r>
      <w:r w:rsidR="001F4EF2">
        <w:rPr>
          <w:rFonts w:cs="Arial"/>
        </w:rPr>
        <w:t>erão</w:t>
      </w:r>
      <w:r w:rsidR="003E7BB4">
        <w:rPr>
          <w:rFonts w:cs="Arial"/>
        </w:rPr>
        <w:t xml:space="preserve"> </w:t>
      </w:r>
      <w:r w:rsidR="00766CA1">
        <w:rPr>
          <w:rFonts w:cs="Arial"/>
        </w:rPr>
        <w:t xml:space="preserve">refrigeração proveniente do ambiente em que </w:t>
      </w:r>
      <w:r w:rsidR="00455A68">
        <w:rPr>
          <w:rFonts w:cs="Arial"/>
        </w:rPr>
        <w:t>está</w:t>
      </w:r>
      <w:r w:rsidR="00766CA1">
        <w:rPr>
          <w:rFonts w:cs="Arial"/>
        </w:rPr>
        <w:t xml:space="preserve"> inserido</w:t>
      </w:r>
      <w:r w:rsidR="001F4EF2">
        <w:rPr>
          <w:rFonts w:cs="Arial"/>
        </w:rPr>
        <w:t>.</w:t>
      </w:r>
    </w:p>
    <w:p w14:paraId="60968287" w14:textId="6D34D8D9" w:rsidR="00FB2FAC" w:rsidRPr="009750A5" w:rsidRDefault="00FB2FAC" w:rsidP="00FB2FAC">
      <w:pPr>
        <w:spacing w:before="120" w:after="120"/>
        <w:ind w:firstLine="567"/>
        <w:rPr>
          <w:rFonts w:cs="Arial"/>
          <w:i/>
        </w:rPr>
      </w:pPr>
      <w:r w:rsidRPr="009750A5">
        <w:rPr>
          <w:rFonts w:cs="Arial"/>
          <w:i/>
        </w:rPr>
        <w:t xml:space="preserve">As placas de advertência “Perigo de Morte – Alta Tensão”, conforme detalhe em desenho, serão afixados em locais possíveis de acesso e internos, possíveis de acesso </w:t>
      </w:r>
      <w:r w:rsidR="009C762D" w:rsidRPr="009750A5">
        <w:rPr>
          <w:rFonts w:cs="Arial"/>
          <w:i/>
        </w:rPr>
        <w:t>às</w:t>
      </w:r>
      <w:r w:rsidRPr="009750A5">
        <w:rPr>
          <w:rFonts w:cs="Arial"/>
          <w:i/>
        </w:rPr>
        <w:t xml:space="preserve"> áreas energizadas, como: porta de acesso à subestação e gradil dos cubículos de medição, seccionamento e transformação. </w:t>
      </w:r>
    </w:p>
    <w:p w14:paraId="091A60CC" w14:textId="77777777" w:rsidR="00FB2FAC" w:rsidRPr="009750A5" w:rsidRDefault="00FB2FAC" w:rsidP="00FB2FAC">
      <w:pPr>
        <w:spacing w:before="120" w:after="120"/>
        <w:ind w:firstLine="567"/>
        <w:rPr>
          <w:rFonts w:cs="Arial"/>
          <w:i/>
        </w:rPr>
      </w:pPr>
      <w:r w:rsidRPr="009750A5">
        <w:rPr>
          <w:rFonts w:cs="Arial"/>
          <w:i/>
        </w:rPr>
        <w:t xml:space="preserve">A caixa porta chave, localizada na parte externa da subestação a 1800 mm do piso </w:t>
      </w:r>
      <w:proofErr w:type="gramStart"/>
      <w:r w:rsidRPr="009750A5">
        <w:rPr>
          <w:rFonts w:cs="Arial"/>
          <w:i/>
        </w:rPr>
        <w:t>da mesma</w:t>
      </w:r>
      <w:proofErr w:type="gramEnd"/>
      <w:r w:rsidRPr="009750A5">
        <w:rPr>
          <w:rFonts w:cs="Arial"/>
          <w:i/>
        </w:rPr>
        <w:t xml:space="preserve">, está contida uma cópia da chave da subestação para abertura do local em caso de emergência. </w:t>
      </w:r>
    </w:p>
    <w:p w14:paraId="54001DDE" w14:textId="30F534F3" w:rsidR="00FB2FAC" w:rsidRPr="009750A5" w:rsidRDefault="00FB2FAC" w:rsidP="00FB2FAC">
      <w:pPr>
        <w:spacing w:before="120" w:after="120"/>
        <w:ind w:firstLine="567"/>
        <w:rPr>
          <w:rFonts w:cs="Arial"/>
          <w:i/>
        </w:rPr>
      </w:pPr>
      <w:r w:rsidRPr="009750A5">
        <w:rPr>
          <w:rFonts w:cs="Arial"/>
          <w:i/>
        </w:rPr>
        <w:t xml:space="preserve">Será instalado próximo ao acesso da subestação um extintor de incêndio de Pó químico de 12 </w:t>
      </w:r>
      <w:r w:rsidR="001249C7" w:rsidRPr="009750A5">
        <w:rPr>
          <w:rFonts w:cs="Arial"/>
          <w:i/>
        </w:rPr>
        <w:t>kg</w:t>
      </w:r>
      <w:r w:rsidRPr="009750A5">
        <w:rPr>
          <w:rFonts w:cs="Arial"/>
          <w:i/>
        </w:rPr>
        <w:t xml:space="preserve">, como forma de combate à focos de incêndio. </w:t>
      </w:r>
    </w:p>
    <w:p w14:paraId="7F73B4FF" w14:textId="77777777" w:rsidR="001518DD" w:rsidRPr="00685FCA" w:rsidRDefault="00FB2FAC" w:rsidP="00685FCA">
      <w:pPr>
        <w:rPr>
          <w:rFonts w:cstheme="majorBidi"/>
          <w:i/>
          <w:iCs/>
        </w:rPr>
      </w:pPr>
      <w:r w:rsidRPr="00685FCA">
        <w:rPr>
          <w:i/>
          <w:iCs/>
        </w:rPr>
        <w:t>As aberturas e os equipamentos de iluminação foram previstos para garantir a iluminação do ambiente, conforme desenhos contidos neste projeto</w:t>
      </w:r>
    </w:p>
    <w:p w14:paraId="101B3DEC" w14:textId="03B6309D" w:rsidR="00A72DDA" w:rsidRDefault="006B2914" w:rsidP="001518DD">
      <w:pPr>
        <w:pStyle w:val="Ttulo1"/>
      </w:pPr>
      <w:bookmarkStart w:id="4" w:name="_Toc66710190"/>
      <w:r>
        <w:t>CÁLCULO E DIMENSIONAMENTO MECÂNICO DO POSTE</w:t>
      </w:r>
      <w:bookmarkEnd w:id="4"/>
    </w:p>
    <w:p w14:paraId="09F18489" w14:textId="77777777" w:rsidR="00B05137" w:rsidRDefault="00B05137" w:rsidP="00C92782">
      <w:pPr>
        <w:ind w:firstLine="567"/>
        <w:rPr>
          <w:rFonts w:cs="Arial"/>
        </w:rPr>
      </w:pPr>
      <w:r w:rsidRPr="006B2914">
        <w:rPr>
          <w:rFonts w:cs="Arial"/>
        </w:rPr>
        <w:t>Ser</w:t>
      </w:r>
      <w:r>
        <w:rPr>
          <w:rFonts w:cs="Arial"/>
        </w:rPr>
        <w:t>á</w:t>
      </w:r>
      <w:r w:rsidRPr="006B2914">
        <w:rPr>
          <w:rFonts w:cs="Arial"/>
        </w:rPr>
        <w:t xml:space="preserve"> utilizado</w:t>
      </w:r>
      <w:r>
        <w:rPr>
          <w:rFonts w:cs="Arial"/>
        </w:rPr>
        <w:t xml:space="preserve"> </w:t>
      </w:r>
      <w:r w:rsidRPr="006B2914">
        <w:rPr>
          <w:rFonts w:cs="Arial"/>
        </w:rPr>
        <w:t>poste de concreto</w:t>
      </w:r>
      <w:r>
        <w:rPr>
          <w:rFonts w:cs="Arial"/>
        </w:rPr>
        <w:t xml:space="preserve"> armado</w:t>
      </w:r>
      <w:r w:rsidRPr="006B2914">
        <w:rPr>
          <w:rFonts w:cs="Arial"/>
        </w:rPr>
        <w:t xml:space="preserve"> duplo “T”</w:t>
      </w:r>
      <w:r>
        <w:rPr>
          <w:rFonts w:cs="Arial"/>
        </w:rPr>
        <w:t xml:space="preserve"> e a bitola indicada no poste é suportada na face lisa, e 50% da indicação da bitola na face côncava.</w:t>
      </w:r>
    </w:p>
    <w:p w14:paraId="65A1642A" w14:textId="77777777" w:rsidR="00B05137" w:rsidRDefault="00B05137" w:rsidP="00C92782">
      <w:pPr>
        <w:ind w:firstLine="567"/>
        <w:rPr>
          <w:rFonts w:cs="Arial"/>
        </w:rPr>
      </w:pPr>
      <w:r>
        <w:rPr>
          <w:rFonts w:cs="Arial"/>
        </w:rPr>
        <w:t xml:space="preserve">Foi considerado como tração de projeto, os cabos de cobre nu de </w:t>
      </w:r>
      <w:r w:rsidRPr="001F4792">
        <w:rPr>
          <w:rFonts w:cs="Arial"/>
          <w:b/>
          <w:i/>
        </w:rPr>
        <w:t>35 mm²</w:t>
      </w:r>
      <w:r>
        <w:rPr>
          <w:rFonts w:cs="Arial"/>
        </w:rPr>
        <w:t xml:space="preserve"> TMD, considera-se nos cálculos dos esforços resultantes, a ação do vento de 72 Km/h (20 m/s).</w:t>
      </w:r>
    </w:p>
    <w:p w14:paraId="104DA7D5" w14:textId="67890578" w:rsidR="00B05137" w:rsidRPr="00A07038" w:rsidRDefault="00B05137" w:rsidP="00C92782">
      <w:pPr>
        <w:ind w:firstLine="567"/>
        <w:rPr>
          <w:rFonts w:cs="Arial"/>
        </w:rPr>
      </w:pPr>
      <w:r w:rsidRPr="00A07038">
        <w:rPr>
          <w:rFonts w:cs="Arial"/>
        </w:rPr>
        <w:t>Os cálculos mecânicos, referentes aos condutores nas linhas aéreas, consistem de um modo geral em se determinar a flecha em um dado vão da linha, de modo que os esforços resultantes nos condutores</w:t>
      </w:r>
      <w:r>
        <w:rPr>
          <w:rFonts w:cs="Arial"/>
        </w:rPr>
        <w:t xml:space="preserve"> se</w:t>
      </w:r>
      <w:r w:rsidRPr="00A07038">
        <w:rPr>
          <w:rFonts w:cs="Arial"/>
        </w:rPr>
        <w:t xml:space="preserve"> mantenham dentro dos limites de segurança.</w:t>
      </w:r>
      <w:r w:rsidR="00FA56D0">
        <w:rPr>
          <w:rFonts w:cs="Arial"/>
        </w:rPr>
        <w:t xml:space="preserve"> </w:t>
      </w:r>
      <w:r w:rsidR="00FA56D0" w:rsidRPr="00E72E7C">
        <w:rPr>
          <w:rFonts w:cs="Arial"/>
          <w:i/>
        </w:rPr>
        <w:t xml:space="preserve">Conforme </w:t>
      </w:r>
      <w:r w:rsidR="00FA56D0" w:rsidRPr="00E72E7C">
        <w:rPr>
          <w:rFonts w:cs="Arial"/>
          <w:b/>
          <w:i/>
        </w:rPr>
        <w:t>item 4.6.9</w:t>
      </w:r>
      <w:r w:rsidR="00FA56D0" w:rsidRPr="00E72E7C">
        <w:rPr>
          <w:rFonts w:cs="Arial"/>
          <w:i/>
        </w:rPr>
        <w:t xml:space="preserve"> da referida norma o primeiro poste particular terá a estrutura de amarração composta</w:t>
      </w:r>
      <w:r w:rsidR="00E72E7C" w:rsidRPr="00E72E7C">
        <w:rPr>
          <w:rFonts w:cs="Arial"/>
          <w:i/>
        </w:rPr>
        <w:t xml:space="preserve">: isolador de suspensão polimérico de 15 kV, por manilha sapatilha em aço 5.000 </w:t>
      </w:r>
      <w:proofErr w:type="spellStart"/>
      <w:r w:rsidR="00E72E7C" w:rsidRPr="00E72E7C">
        <w:rPr>
          <w:rFonts w:cs="Arial"/>
          <w:i/>
        </w:rPr>
        <w:t>daN</w:t>
      </w:r>
      <w:proofErr w:type="spellEnd"/>
      <w:r w:rsidR="00E72E7C" w:rsidRPr="00E72E7C">
        <w:rPr>
          <w:rFonts w:cs="Arial"/>
          <w:i/>
        </w:rPr>
        <w:t xml:space="preserve">, </w:t>
      </w:r>
      <w:r w:rsidR="00FA56D0" w:rsidRPr="00E72E7C">
        <w:rPr>
          <w:rFonts w:cs="Arial"/>
          <w:i/>
        </w:rPr>
        <w:t xml:space="preserve">por grampo de ancoragem </w:t>
      </w:r>
      <w:r w:rsidR="00E72E7C" w:rsidRPr="00E72E7C">
        <w:rPr>
          <w:rFonts w:cs="Arial"/>
          <w:i/>
        </w:rPr>
        <w:t xml:space="preserve">e gancho olhal galvanizado de 5.000 </w:t>
      </w:r>
      <w:proofErr w:type="spellStart"/>
      <w:r w:rsidR="00E72E7C" w:rsidRPr="00E72E7C">
        <w:rPr>
          <w:rFonts w:cs="Arial"/>
          <w:i/>
        </w:rPr>
        <w:t>daN</w:t>
      </w:r>
      <w:proofErr w:type="spellEnd"/>
      <w:r w:rsidR="00E72E7C" w:rsidRPr="00E72E7C">
        <w:rPr>
          <w:rFonts w:cs="Arial"/>
          <w:i/>
        </w:rPr>
        <w:t>.</w:t>
      </w:r>
    </w:p>
    <w:p w14:paraId="654A6A85" w14:textId="77777777" w:rsidR="00B05137" w:rsidRPr="00A07038" w:rsidRDefault="00B05137" w:rsidP="00C92782">
      <w:pPr>
        <w:ind w:firstLine="567"/>
        <w:rPr>
          <w:rFonts w:cs="Arial"/>
        </w:rPr>
      </w:pPr>
      <w:r w:rsidRPr="00A07038">
        <w:rPr>
          <w:rFonts w:cs="Arial"/>
        </w:rPr>
        <w:lastRenderedPageBreak/>
        <w:t>Os condutores das linhas aéreas, além da carga referente ao seu peso próprio, ficam também sujeitos àquelas provenientes da pressão do vento, atuando horizontalmente.</w:t>
      </w:r>
    </w:p>
    <w:p w14:paraId="19CDC4ED" w14:textId="77777777" w:rsidR="00B05137" w:rsidRPr="00FE7DCC" w:rsidRDefault="00B05137" w:rsidP="00B05137">
      <w:pPr>
        <w:ind w:firstLine="567"/>
        <w:rPr>
          <w:rFonts w:cs="Arial"/>
        </w:rPr>
      </w:pPr>
      <w:r w:rsidRPr="00A07038">
        <w:rPr>
          <w:rFonts w:cs="Arial"/>
        </w:rPr>
        <w:t xml:space="preserve">Portanto, para a determinação do esforço mecânico total a que o condutor ficará submetido, deve-se levar em consideração a resultante das cargas que atuam sobre </w:t>
      </w:r>
      <w:proofErr w:type="gramStart"/>
      <w:r w:rsidRPr="00A07038">
        <w:rPr>
          <w:rFonts w:cs="Arial"/>
        </w:rPr>
        <w:t>o mesmo</w:t>
      </w:r>
      <w:proofErr w:type="gramEnd"/>
      <w:r w:rsidRPr="00A07038">
        <w:rPr>
          <w:rFonts w:cs="Arial"/>
        </w:rPr>
        <w:t>, ou seja, o seu peso próprio e a pressão do vento.</w:t>
      </w:r>
    </w:p>
    <w:p w14:paraId="1299C43A" w14:textId="77777777" w:rsidR="00B05137" w:rsidRDefault="00B05137" w:rsidP="006B2914">
      <w:pPr>
        <w:rPr>
          <w:rFonts w:cs="Arial"/>
        </w:rPr>
      </w:pPr>
    </w:p>
    <w:p w14:paraId="4DDBEF00" w14:textId="77777777" w:rsidR="001653E7" w:rsidRPr="006B2914" w:rsidRDefault="00B05137" w:rsidP="006B2914">
      <w:pPr>
        <w:rPr>
          <w:rFonts w:cs="Arial"/>
        </w:rPr>
      </w:pPr>
      <w:r w:rsidRPr="00A07038">
        <w:rPr>
          <w:rFonts w:cs="Arial"/>
          <w:noProof/>
        </w:rPr>
        <w:drawing>
          <wp:inline distT="0" distB="0" distL="0" distR="0" wp14:anchorId="6935D497" wp14:editId="51298E21">
            <wp:extent cx="5400040" cy="16998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B2097" w14:textId="77777777" w:rsidR="00B05137" w:rsidRPr="005B061B" w:rsidRDefault="00B05137" w:rsidP="008752F8">
      <w:pPr>
        <w:ind w:firstLine="567"/>
        <w:rPr>
          <w:rFonts w:cs="Arial"/>
        </w:rPr>
      </w:pPr>
      <w:r w:rsidRPr="005B061B">
        <w:rPr>
          <w:rFonts w:cs="Arial"/>
        </w:rPr>
        <w:t>A pressão do vento pode ser determinada pela expressão:</w:t>
      </w:r>
    </w:p>
    <w:p w14:paraId="4988FECA" w14:textId="77777777" w:rsidR="00B05137" w:rsidRPr="005B061B" w:rsidRDefault="00B05137" w:rsidP="008752F8">
      <w:pPr>
        <w:ind w:firstLine="2127"/>
      </w:pPr>
      <w:r w:rsidRPr="005B061B">
        <w:t>p = v</w:t>
      </w:r>
      <w:r w:rsidRPr="005B061B">
        <w:rPr>
          <w:vertAlign w:val="superscript"/>
        </w:rPr>
        <w:t>2</w:t>
      </w:r>
      <w:r w:rsidRPr="005B061B">
        <w:t>/8 (kg/m</w:t>
      </w:r>
      <w:r w:rsidRPr="005B061B">
        <w:rPr>
          <w:vertAlign w:val="superscript"/>
        </w:rPr>
        <w:t>2</w:t>
      </w:r>
      <w:r w:rsidRPr="005B061B">
        <w:t xml:space="preserve">) </w:t>
      </w:r>
    </w:p>
    <w:p w14:paraId="775EF620" w14:textId="77777777" w:rsidR="00B05137" w:rsidRPr="005B061B" w:rsidRDefault="00B05137" w:rsidP="008752F8">
      <w:pPr>
        <w:ind w:firstLine="2127"/>
      </w:pPr>
      <w:r w:rsidRPr="005B061B">
        <w:t>v = velocidade do vento (m/s)</w:t>
      </w:r>
    </w:p>
    <w:p w14:paraId="05D2CBC0" w14:textId="77777777" w:rsidR="00B05137" w:rsidRPr="005B061B" w:rsidRDefault="00B05137" w:rsidP="008752F8">
      <w:pPr>
        <w:ind w:firstLine="567"/>
        <w:rPr>
          <w:rFonts w:cs="Arial"/>
        </w:rPr>
      </w:pPr>
      <w:r w:rsidRPr="005B061B">
        <w:rPr>
          <w:rFonts w:cs="Arial"/>
        </w:rPr>
        <w:t>É comum adotar-se para “p” o valor 50 kg/m2 que corresponde a uma velocidade do vento de 20 m/s, ou seja, 72 km/h.</w:t>
      </w:r>
    </w:p>
    <w:p w14:paraId="780F460B" w14:textId="77777777" w:rsidR="00B05137" w:rsidRPr="00CA6400" w:rsidRDefault="00B05137" w:rsidP="008752F8">
      <w:r w:rsidRPr="00CA6400">
        <w:t>Aplicação:</w:t>
      </w:r>
    </w:p>
    <w:p w14:paraId="740A02E5" w14:textId="77777777" w:rsidR="00B05137" w:rsidRPr="00CA6400" w:rsidRDefault="00B05137" w:rsidP="008752F8">
      <w:pPr>
        <w:pStyle w:val="PargrafodaLista"/>
        <w:numPr>
          <w:ilvl w:val="0"/>
          <w:numId w:val="7"/>
        </w:numPr>
        <w:ind w:left="567" w:hanging="153"/>
      </w:pPr>
      <w:r w:rsidRPr="00CA6400">
        <w:t>Cabo de cobre de 35 mm²</w:t>
      </w:r>
    </w:p>
    <w:p w14:paraId="3B6B2D56" w14:textId="77777777" w:rsidR="00B05137" w:rsidRPr="00CA6400" w:rsidRDefault="00B05137" w:rsidP="008752F8">
      <w:pPr>
        <w:pStyle w:val="PargrafodaLista"/>
        <w:numPr>
          <w:ilvl w:val="0"/>
          <w:numId w:val="7"/>
        </w:numPr>
        <w:ind w:left="567" w:hanging="153"/>
      </w:pPr>
      <w:r w:rsidRPr="00CA6400">
        <w:t xml:space="preserve">Peso do cabo = 0,299 kg/m </w:t>
      </w:r>
    </w:p>
    <w:p w14:paraId="2344071A" w14:textId="77777777" w:rsidR="00B05137" w:rsidRPr="00CA6400" w:rsidRDefault="00B05137" w:rsidP="008752F8">
      <w:pPr>
        <w:pStyle w:val="PargrafodaLista"/>
        <w:numPr>
          <w:ilvl w:val="0"/>
          <w:numId w:val="7"/>
        </w:numPr>
        <w:ind w:left="567" w:hanging="153"/>
      </w:pPr>
      <w:r w:rsidRPr="00CA6400">
        <w:t xml:space="preserve">Diâmetro externo (d) = 0,00695 m </w:t>
      </w:r>
    </w:p>
    <w:p w14:paraId="7AA1D27F" w14:textId="77777777" w:rsidR="00B05137" w:rsidRPr="00CA6400" w:rsidRDefault="00B05137" w:rsidP="008752F8">
      <w:pPr>
        <w:pStyle w:val="PargrafodaLista"/>
        <w:numPr>
          <w:ilvl w:val="0"/>
          <w:numId w:val="7"/>
        </w:numPr>
        <w:ind w:left="567" w:hanging="153"/>
      </w:pPr>
      <w:r w:rsidRPr="00CA6400">
        <w:t>Vão entre postes = 15 m</w:t>
      </w:r>
    </w:p>
    <w:p w14:paraId="0F5A9A84" w14:textId="77777777" w:rsidR="00B05137" w:rsidRPr="00CA6400" w:rsidRDefault="00B05137" w:rsidP="008752F8">
      <w:pPr>
        <w:ind w:firstLine="567"/>
        <w:rPr>
          <w:rFonts w:cs="Arial"/>
        </w:rPr>
      </w:pPr>
      <w:r w:rsidRPr="00CA6400">
        <w:rPr>
          <w:rFonts w:cs="Arial"/>
        </w:rPr>
        <w:t>Vamos assumir a pressão do vento igual a 50 kg/m2 e a flecha igual a 2,5% do vão:</w:t>
      </w:r>
    </w:p>
    <w:p w14:paraId="6D78E5C0" w14:textId="77777777" w:rsidR="00B05137" w:rsidRPr="00CA6400" w:rsidRDefault="00B05137" w:rsidP="008752F8">
      <w:r w:rsidRPr="00CA6400">
        <w:t>H = p x d = 50 x 0,00695 = 0,3475 kgf/m</w:t>
      </w:r>
    </w:p>
    <w:p w14:paraId="1F16CBC5" w14:textId="77777777" w:rsidR="00B05137" w:rsidRPr="00CA6400" w:rsidRDefault="00B05137" w:rsidP="008752F8">
      <w:r w:rsidRPr="00CA6400">
        <w:t xml:space="preserve">R = </w:t>
      </w:r>
      <m:oMath>
        <m:r>
          <w:rPr>
            <w:rFonts w:ascii="Cambria Math" w:hAnsi="Cambria Math"/>
          </w:rPr>
          <m:t>√(</m:t>
        </m:r>
      </m:oMath>
      <w:r w:rsidRPr="00CA6400">
        <w:rPr>
          <w:rFonts w:eastAsiaTheme="minorEastAsia"/>
        </w:rPr>
        <w:t>P</w:t>
      </w:r>
      <w:r w:rsidRPr="00CA6400">
        <w:rPr>
          <w:rFonts w:eastAsiaTheme="minorEastAsia"/>
          <w:vertAlign w:val="superscript"/>
        </w:rPr>
        <w:t>2</w:t>
      </w:r>
      <w:r w:rsidRPr="00CA6400">
        <w:rPr>
          <w:rFonts w:eastAsiaTheme="minorEastAsia"/>
        </w:rPr>
        <w:t>+H</w:t>
      </w:r>
      <w:r w:rsidRPr="00CA6400">
        <w:rPr>
          <w:rFonts w:eastAsiaTheme="minorEastAsia"/>
          <w:vertAlign w:val="superscript"/>
        </w:rPr>
        <w:t>2</w:t>
      </w:r>
      <w:r w:rsidRPr="00CA6400">
        <w:rPr>
          <w:rFonts w:eastAsiaTheme="minorEastAsia"/>
        </w:rPr>
        <w:t>) =</w:t>
      </w:r>
      <m:oMath>
        <m:r>
          <w:rPr>
            <w:rFonts w:ascii="Cambria Math" w:eastAsiaTheme="minorEastAsia" w:hAnsi="Cambria Math"/>
          </w:rPr>
          <m:t>√</m:t>
        </m:r>
      </m:oMath>
      <w:r w:rsidRPr="00CA6400">
        <w:rPr>
          <w:rFonts w:eastAsiaTheme="minorEastAsia"/>
        </w:rPr>
        <w:t>(0,299)</w:t>
      </w:r>
      <w:r w:rsidRPr="00CA6400">
        <w:rPr>
          <w:rFonts w:eastAsiaTheme="minorEastAsia"/>
          <w:vertAlign w:val="superscript"/>
        </w:rPr>
        <w:t>2</w:t>
      </w:r>
      <w:r w:rsidRPr="00CA6400">
        <w:rPr>
          <w:rFonts w:eastAsiaTheme="minorEastAsia"/>
        </w:rPr>
        <w:t>+(0,3475)</w:t>
      </w:r>
      <w:r w:rsidRPr="00CA6400">
        <w:rPr>
          <w:rFonts w:eastAsiaTheme="minorEastAsia"/>
          <w:vertAlign w:val="superscript"/>
        </w:rPr>
        <w:t>2</w:t>
      </w:r>
      <w:r w:rsidRPr="00CA6400">
        <w:rPr>
          <w:rFonts w:eastAsiaTheme="minorEastAsia"/>
        </w:rPr>
        <w:t xml:space="preserve"> = 0,4584 </w:t>
      </w:r>
      <w:r w:rsidRPr="00CA6400">
        <w:t>kgf</w:t>
      </w:r>
    </w:p>
    <w:p w14:paraId="5C9AE4AD" w14:textId="77777777" w:rsidR="00B05137" w:rsidRPr="00CA6400" w:rsidRDefault="00B05137" w:rsidP="008752F8">
      <w:r w:rsidRPr="00CA6400">
        <w:t>T = (R x L</w:t>
      </w:r>
      <w:r w:rsidRPr="00CA6400">
        <w:rPr>
          <w:vertAlign w:val="superscript"/>
        </w:rPr>
        <w:t>2</w:t>
      </w:r>
      <w:r w:rsidRPr="00CA6400">
        <w:t>) / 8 x f = [(0,4584 x (15)</w:t>
      </w:r>
      <w:r w:rsidRPr="00CA6400">
        <w:rPr>
          <w:vertAlign w:val="superscript"/>
        </w:rPr>
        <w:t>2</w:t>
      </w:r>
      <w:r w:rsidRPr="00CA6400">
        <w:t>] / 8 x 0,025x15 = 103,14/3 = 34,38 kgf</w:t>
      </w:r>
    </w:p>
    <w:p w14:paraId="3650E0E5" w14:textId="77777777" w:rsidR="00B05137" w:rsidRPr="00CA6400" w:rsidRDefault="00B05137" w:rsidP="008752F8">
      <w:r w:rsidRPr="00CA6400">
        <w:t>1 kgf = 9,8066 N, portanto T’ (</w:t>
      </w:r>
      <w:proofErr w:type="spellStart"/>
      <w:r w:rsidRPr="00CA6400">
        <w:t>daN</w:t>
      </w:r>
      <w:proofErr w:type="spellEnd"/>
      <w:r w:rsidRPr="00CA6400">
        <w:t xml:space="preserve">) = (T x 9,8066) /10 = 33,71 </w:t>
      </w:r>
      <w:proofErr w:type="spellStart"/>
      <w:r w:rsidRPr="00CA6400">
        <w:t>daN</w:t>
      </w:r>
      <w:proofErr w:type="spellEnd"/>
      <w:r w:rsidRPr="00CA6400">
        <w:t>.</w:t>
      </w:r>
    </w:p>
    <w:p w14:paraId="21FE6D39" w14:textId="16300A3E" w:rsidR="00B05137" w:rsidRDefault="00B05137" w:rsidP="00B05137">
      <w:pPr>
        <w:pStyle w:val="PargrafodaLista"/>
        <w:ind w:left="0" w:firstLine="567"/>
        <w:rPr>
          <w:rFonts w:cs="Arial"/>
        </w:rPr>
      </w:pPr>
      <w:r w:rsidRPr="00CA6400">
        <w:rPr>
          <w:rFonts w:cs="Arial"/>
        </w:rPr>
        <w:t>O poste</w:t>
      </w:r>
      <w:r w:rsidR="00765694">
        <w:rPr>
          <w:rFonts w:cs="Arial"/>
        </w:rPr>
        <w:t xml:space="preserve"> e da cruzeta</w:t>
      </w:r>
      <w:r w:rsidR="00FC5DE8">
        <w:rPr>
          <w:rFonts w:cs="Arial"/>
        </w:rPr>
        <w:t>,</w:t>
      </w:r>
      <w:r w:rsidR="00CA6400">
        <w:rPr>
          <w:rFonts w:cs="Arial"/>
        </w:rPr>
        <w:t xml:space="preserve"> para sustentação da estrutura CE-TS</w:t>
      </w:r>
      <w:r w:rsidR="00765694">
        <w:rPr>
          <w:rFonts w:cs="Arial"/>
        </w:rPr>
        <w:t xml:space="preserve"> no padrão de entrada</w:t>
      </w:r>
      <w:r w:rsidR="00FC5DE8">
        <w:rPr>
          <w:rFonts w:cs="Arial"/>
        </w:rPr>
        <w:t>,</w:t>
      </w:r>
      <w:r w:rsidRPr="00CA6400">
        <w:rPr>
          <w:rFonts w:cs="Arial"/>
        </w:rPr>
        <w:t xml:space="preserve"> adotado </w:t>
      </w:r>
      <w:r w:rsidR="0035431F" w:rsidRPr="00CA6400">
        <w:rPr>
          <w:rFonts w:cs="Arial"/>
        </w:rPr>
        <w:t>ser</w:t>
      </w:r>
      <w:r w:rsidR="0035431F">
        <w:rPr>
          <w:rFonts w:cs="Arial"/>
        </w:rPr>
        <w:t>á</w:t>
      </w:r>
      <w:r w:rsidRPr="00CA6400">
        <w:rPr>
          <w:rFonts w:cs="Arial"/>
        </w:rPr>
        <w:t xml:space="preserve"> de concreto armado tipo </w:t>
      </w:r>
      <w:r w:rsidRPr="00CA6400">
        <w:rPr>
          <w:rFonts w:cs="Arial"/>
          <w:b/>
        </w:rPr>
        <w:t xml:space="preserve">DT </w:t>
      </w:r>
      <w:r w:rsidR="00FC5DE8">
        <w:rPr>
          <w:rFonts w:cs="Arial"/>
          <w:b/>
        </w:rPr>
        <w:t>6</w:t>
      </w:r>
      <w:r w:rsidRPr="00CA6400">
        <w:rPr>
          <w:rFonts w:cs="Arial"/>
          <w:b/>
        </w:rPr>
        <w:t>00/10 m</w:t>
      </w:r>
      <w:r w:rsidRPr="00CA6400">
        <w:rPr>
          <w:rFonts w:cs="Arial"/>
        </w:rPr>
        <w:t xml:space="preserve"> e de </w:t>
      </w:r>
      <w:r w:rsidRPr="00CA6400">
        <w:rPr>
          <w:rFonts w:cs="Arial"/>
          <w:b/>
        </w:rPr>
        <w:t>1,90 m</w:t>
      </w:r>
      <w:r w:rsidRPr="00CA6400">
        <w:rPr>
          <w:rFonts w:cs="Arial"/>
        </w:rPr>
        <w:t xml:space="preserve"> respectivamente, conforme normas e padrões da CELPE.</w:t>
      </w:r>
    </w:p>
    <w:p w14:paraId="5F1E15A2" w14:textId="77777777" w:rsidR="0095504D" w:rsidRDefault="000C066A" w:rsidP="000C066A">
      <w:pPr>
        <w:pStyle w:val="Ttulo1"/>
      </w:pPr>
      <w:bookmarkStart w:id="5" w:name="_Toc66710191"/>
      <w:r w:rsidRPr="009C3BEA">
        <w:lastRenderedPageBreak/>
        <w:t>PROTEÇÃO</w:t>
      </w:r>
      <w:r w:rsidR="003153A5">
        <w:t xml:space="preserve"> E MEDIÇÃO</w:t>
      </w:r>
      <w:bookmarkEnd w:id="5"/>
    </w:p>
    <w:p w14:paraId="19D34DC8" w14:textId="77777777" w:rsidR="000C066A" w:rsidRPr="009C3BEA" w:rsidRDefault="000C066A" w:rsidP="0095504D">
      <w:pPr>
        <w:pStyle w:val="Ttulo2"/>
      </w:pPr>
      <w:r w:rsidRPr="009C3BEA">
        <w:t xml:space="preserve"> </w:t>
      </w:r>
      <w:bookmarkStart w:id="6" w:name="_Toc66710192"/>
      <w:r w:rsidR="0095504D">
        <w:t>PROTEÇÃO PRIMÁRIA</w:t>
      </w:r>
      <w:r w:rsidRPr="009C3BEA">
        <w:t>:</w:t>
      </w:r>
      <w:bookmarkEnd w:id="6"/>
      <w:r w:rsidRPr="009C3BEA">
        <w:t xml:space="preserve"> </w:t>
      </w:r>
    </w:p>
    <w:p w14:paraId="2A244872" w14:textId="60C11E98" w:rsidR="00ED0882" w:rsidRPr="009750A5" w:rsidRDefault="00ED0882" w:rsidP="00ED0882">
      <w:pPr>
        <w:ind w:firstLine="567"/>
        <w:rPr>
          <w:rFonts w:cs="Arial"/>
        </w:rPr>
      </w:pPr>
      <w:r w:rsidRPr="009750A5">
        <w:rPr>
          <w:rFonts w:cs="Arial"/>
        </w:rPr>
        <w:t xml:space="preserve">O ramal de ligação é composto por estruturas de média tensão padronizada, onde a proteção contra curto-circuito e sobrecorrentes é constituída de chaves fusíveis unipolares, ajustadas ao nível de tensão, base “C”, com corrente nominal de </w:t>
      </w:r>
      <w:r w:rsidRPr="009750A5">
        <w:rPr>
          <w:rFonts w:cs="Arial"/>
          <w:b/>
          <w:i/>
        </w:rPr>
        <w:t>100 A</w:t>
      </w:r>
      <w:r w:rsidRPr="009750A5">
        <w:rPr>
          <w:rFonts w:cs="Arial"/>
        </w:rPr>
        <w:t xml:space="preserve">, tensão máxima </w:t>
      </w:r>
      <w:r w:rsidRPr="009750A5">
        <w:rPr>
          <w:rFonts w:cs="Arial"/>
          <w:b/>
          <w:i/>
        </w:rPr>
        <w:t>15kV</w:t>
      </w:r>
      <w:r w:rsidRPr="009750A5">
        <w:rPr>
          <w:rFonts w:cs="Arial"/>
        </w:rPr>
        <w:t xml:space="preserve">, e capacidade de interrupção de </w:t>
      </w:r>
      <w:r w:rsidRPr="009750A5">
        <w:rPr>
          <w:rFonts w:cs="Arial"/>
          <w:b/>
          <w:i/>
        </w:rPr>
        <w:t>10</w:t>
      </w:r>
      <w:r>
        <w:rPr>
          <w:rFonts w:cs="Arial"/>
          <w:b/>
          <w:i/>
        </w:rPr>
        <w:t>k</w:t>
      </w:r>
      <w:r w:rsidR="008952F8">
        <w:rPr>
          <w:rFonts w:cs="Arial"/>
          <w:b/>
          <w:i/>
        </w:rPr>
        <w:t xml:space="preserve">A e </w:t>
      </w:r>
      <w:r w:rsidR="008952F8" w:rsidRPr="005A372B">
        <w:rPr>
          <w:rFonts w:cs="Arial"/>
          <w:bCs/>
          <w:iCs/>
        </w:rPr>
        <w:t>el</w:t>
      </w:r>
      <w:r w:rsidR="005A372B" w:rsidRPr="005A372B">
        <w:rPr>
          <w:rFonts w:cs="Arial"/>
          <w:bCs/>
          <w:iCs/>
        </w:rPr>
        <w:t>o fusível</w:t>
      </w:r>
      <w:r w:rsidR="005A372B">
        <w:rPr>
          <w:rFonts w:cs="Arial"/>
          <w:b/>
          <w:i/>
        </w:rPr>
        <w:t xml:space="preserve"> de 40k</w:t>
      </w:r>
      <w:r w:rsidRPr="009750A5">
        <w:rPr>
          <w:rFonts w:cs="Arial"/>
        </w:rPr>
        <w:t>.</w:t>
      </w:r>
    </w:p>
    <w:p w14:paraId="4CFBF755" w14:textId="106053EB" w:rsidR="00ED0882" w:rsidRPr="009750A5" w:rsidRDefault="00ED0882" w:rsidP="00ED0882">
      <w:pPr>
        <w:ind w:firstLine="567"/>
        <w:rPr>
          <w:rFonts w:cs="Arial"/>
        </w:rPr>
      </w:pPr>
      <w:r w:rsidRPr="009750A5">
        <w:rPr>
          <w:rFonts w:cs="Arial"/>
        </w:rPr>
        <w:t xml:space="preserve">A proteção da subestação contra sobretensão será executada com a utilização de </w:t>
      </w:r>
      <w:r w:rsidR="001249C7" w:rsidRPr="009750A5">
        <w:rPr>
          <w:rFonts w:cs="Arial"/>
        </w:rPr>
        <w:t>para-raios</w:t>
      </w:r>
      <w:r w:rsidRPr="009750A5">
        <w:rPr>
          <w:rFonts w:cs="Arial"/>
        </w:rPr>
        <w:t xml:space="preserve"> de óxidos metálicos em invólucro polimérico, tensão nominal de </w:t>
      </w:r>
      <w:r w:rsidRPr="009750A5">
        <w:rPr>
          <w:rFonts w:cs="Arial"/>
          <w:b/>
          <w:i/>
        </w:rPr>
        <w:t>12 kV</w:t>
      </w:r>
      <w:r w:rsidRPr="009750A5">
        <w:rPr>
          <w:rFonts w:cs="Arial"/>
        </w:rPr>
        <w:t xml:space="preserve">, capacidade de interrupção </w:t>
      </w:r>
      <w:r w:rsidRPr="009750A5">
        <w:rPr>
          <w:rFonts w:cs="Arial"/>
          <w:b/>
          <w:i/>
        </w:rPr>
        <w:t>10 kA</w:t>
      </w:r>
      <w:r w:rsidRPr="009750A5">
        <w:rPr>
          <w:rFonts w:cs="Arial"/>
        </w:rPr>
        <w:t xml:space="preserve">, com </w:t>
      </w:r>
      <w:proofErr w:type="spellStart"/>
      <w:r w:rsidRPr="009750A5">
        <w:rPr>
          <w:rFonts w:cs="Arial"/>
        </w:rPr>
        <w:t>desligador</w:t>
      </w:r>
      <w:proofErr w:type="spellEnd"/>
      <w:r w:rsidRPr="009750A5">
        <w:rPr>
          <w:rFonts w:cs="Arial"/>
        </w:rPr>
        <w:t xml:space="preserve"> automático, observando-se a ABNT NBR 14.039.</w:t>
      </w:r>
    </w:p>
    <w:p w14:paraId="794C6160" w14:textId="4C752C0B" w:rsidR="00ED0882" w:rsidRPr="009750A5" w:rsidRDefault="00ED0882" w:rsidP="00ED0882">
      <w:pPr>
        <w:ind w:firstLine="567"/>
        <w:rPr>
          <w:rFonts w:cs="Arial"/>
        </w:rPr>
      </w:pPr>
      <w:r w:rsidRPr="009750A5">
        <w:rPr>
          <w:rFonts w:cs="Arial"/>
        </w:rPr>
        <w:t xml:space="preserve">O aterramento dos </w:t>
      </w:r>
      <w:r w:rsidR="0025484B" w:rsidRPr="009750A5">
        <w:rPr>
          <w:rFonts w:cs="Arial"/>
        </w:rPr>
        <w:t>para-raios</w:t>
      </w:r>
      <w:r w:rsidRPr="009750A5">
        <w:rPr>
          <w:rFonts w:cs="Arial"/>
        </w:rPr>
        <w:t xml:space="preserve"> será utilizado cabo de cobre nu, </w:t>
      </w:r>
      <w:r w:rsidR="005A372B">
        <w:rPr>
          <w:rFonts w:cs="Arial"/>
          <w:b/>
          <w:i/>
        </w:rPr>
        <w:t>3</w:t>
      </w:r>
      <w:r w:rsidRPr="009750A5">
        <w:rPr>
          <w:rFonts w:cs="Arial"/>
          <w:b/>
          <w:i/>
        </w:rPr>
        <w:t>5 mm²</w:t>
      </w:r>
      <w:r w:rsidRPr="009750A5">
        <w:rPr>
          <w:rFonts w:cs="Arial"/>
        </w:rPr>
        <w:t>, encordoamento Classe 2.</w:t>
      </w:r>
    </w:p>
    <w:p w14:paraId="0240967E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As chaves seccionadoras, tripolares com abertura simultânea, serão instaladas no lado de média em cada cubículo dos transformadores e antes do disjuntor geral em média tensão, terão as seguintes características:</w:t>
      </w:r>
    </w:p>
    <w:p w14:paraId="02DA0192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Corrente Nominal .............................................................. 400 A</w:t>
      </w:r>
    </w:p>
    <w:p w14:paraId="007AEE73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Tensão Nominal ............................................................... 17,5 kV</w:t>
      </w:r>
    </w:p>
    <w:p w14:paraId="071A62EE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Corrente de Curta duração (1s) ....................................... 15 kA</w:t>
      </w:r>
    </w:p>
    <w:p w14:paraId="1A51F64E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Corrente Dinâmica (crista) ................................................. 40 kA</w:t>
      </w:r>
    </w:p>
    <w:p w14:paraId="5562DC2D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>NBI (kV) .............................................................................. 95 kV</w:t>
      </w:r>
    </w:p>
    <w:p w14:paraId="4CA590BD" w14:textId="77777777" w:rsidR="00ED0882" w:rsidRPr="009750A5" w:rsidRDefault="00ED0882" w:rsidP="00ED0882">
      <w:pPr>
        <w:ind w:firstLine="567"/>
        <w:rPr>
          <w:rFonts w:cs="Arial"/>
          <w:i/>
        </w:rPr>
      </w:pPr>
      <w:r w:rsidRPr="009750A5">
        <w:rPr>
          <w:rFonts w:cs="Arial"/>
          <w:i/>
        </w:rPr>
        <w:t xml:space="preserve">Frequência Nominal ........................................................... 60 Hz </w:t>
      </w:r>
    </w:p>
    <w:p w14:paraId="06AE717D" w14:textId="77777777" w:rsidR="00ED0882" w:rsidRPr="009750A5" w:rsidRDefault="00ED0882" w:rsidP="00ED0882">
      <w:pPr>
        <w:rPr>
          <w:rFonts w:cs="Arial"/>
        </w:rPr>
      </w:pPr>
      <w:r w:rsidRPr="009750A5">
        <w:rPr>
          <w:rFonts w:cs="Arial"/>
        </w:rPr>
        <w:t>O Disjuntor geral da subestação as seguintes características:</w:t>
      </w:r>
    </w:p>
    <w:p w14:paraId="6D447F2E" w14:textId="70B6C422" w:rsidR="00ED0882" w:rsidRPr="0032768E" w:rsidRDefault="00ED0882" w:rsidP="0032768E">
      <w:pPr>
        <w:pStyle w:val="PargrafodaLista"/>
        <w:numPr>
          <w:ilvl w:val="0"/>
          <w:numId w:val="15"/>
        </w:numPr>
        <w:suppressAutoHyphens/>
        <w:ind w:right="5"/>
        <w:rPr>
          <w:rFonts w:cs="Arial"/>
        </w:rPr>
      </w:pPr>
      <w:r w:rsidRPr="0032768E">
        <w:rPr>
          <w:rFonts w:cs="Arial"/>
          <w:b/>
        </w:rPr>
        <w:t xml:space="preserve">O Dispositivo de abertura e fechamento </w:t>
      </w:r>
      <w:r w:rsidRPr="0032768E">
        <w:rPr>
          <w:rFonts w:cs="Arial"/>
        </w:rPr>
        <w:t xml:space="preserve">é composto por um disjuntor </w:t>
      </w:r>
      <w:r w:rsidR="0025484B" w:rsidRPr="0032768E">
        <w:rPr>
          <w:rFonts w:cs="Arial"/>
        </w:rPr>
        <w:t>termomagnético</w:t>
      </w:r>
      <w:r w:rsidRPr="0032768E">
        <w:rPr>
          <w:rFonts w:cs="Arial"/>
        </w:rPr>
        <w:t xml:space="preserve"> em caixa moldada, com as seguintes características:</w:t>
      </w:r>
    </w:p>
    <w:p w14:paraId="77CFFF71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>Tensão Nominal: ............................................................ 17,5kV</w:t>
      </w:r>
    </w:p>
    <w:p w14:paraId="01879C73" w14:textId="6F5E9B2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 xml:space="preserve">Corrente Nominal: .......................................................... </w:t>
      </w:r>
      <w:r w:rsidR="00060555">
        <w:rPr>
          <w:rFonts w:cs="Arial"/>
        </w:rPr>
        <w:t>630</w:t>
      </w:r>
      <w:r w:rsidRPr="009750A5">
        <w:rPr>
          <w:rFonts w:cs="Arial"/>
        </w:rPr>
        <w:t xml:space="preserve"> A</w:t>
      </w:r>
    </w:p>
    <w:p w14:paraId="4A8987C5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>Capacidade de Interrupção ............................................ 350MVA</w:t>
      </w:r>
    </w:p>
    <w:p w14:paraId="192A7FEA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>Corrente de curta duração 3s (10kA) ............................  10kA</w:t>
      </w:r>
    </w:p>
    <w:p w14:paraId="0E79EFCE" w14:textId="04AD3D26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 xml:space="preserve">Tensão Suportável à </w:t>
      </w:r>
      <w:r w:rsidR="0025484B" w:rsidRPr="009750A5">
        <w:rPr>
          <w:rFonts w:cs="Arial"/>
        </w:rPr>
        <w:t>frequência</w:t>
      </w:r>
      <w:r w:rsidRPr="009750A5">
        <w:rPr>
          <w:rFonts w:cs="Arial"/>
        </w:rPr>
        <w:t xml:space="preserve"> Industrial ....................  38kV</w:t>
      </w:r>
    </w:p>
    <w:p w14:paraId="76F1635C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>Tensão suportável à impulso atmosférico .....................  95kV</w:t>
      </w:r>
    </w:p>
    <w:p w14:paraId="257DC319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t>Frequência Nominal ......................................................  60Hz</w:t>
      </w:r>
    </w:p>
    <w:p w14:paraId="64B26787" w14:textId="77777777" w:rsidR="00ED0882" w:rsidRPr="009750A5" w:rsidRDefault="00ED0882" w:rsidP="00ED0882">
      <w:pPr>
        <w:numPr>
          <w:ilvl w:val="0"/>
          <w:numId w:val="12"/>
        </w:numPr>
        <w:rPr>
          <w:rFonts w:cs="Arial"/>
        </w:rPr>
      </w:pPr>
      <w:r w:rsidRPr="009750A5">
        <w:rPr>
          <w:rFonts w:cs="Arial"/>
        </w:rPr>
        <w:lastRenderedPageBreak/>
        <w:t>Será desprovido de bobina de mínima tensão</w:t>
      </w:r>
    </w:p>
    <w:p w14:paraId="2B3A90E4" w14:textId="77777777" w:rsidR="00ED0882" w:rsidRPr="009750A5" w:rsidRDefault="00ED0882" w:rsidP="00ED0882">
      <w:pPr>
        <w:rPr>
          <w:rFonts w:cs="Arial"/>
          <w:sz w:val="10"/>
          <w:szCs w:val="10"/>
        </w:rPr>
      </w:pPr>
    </w:p>
    <w:p w14:paraId="00D5556C" w14:textId="2DA878EE" w:rsidR="00ED0882" w:rsidRPr="0032768E" w:rsidRDefault="00ED0882" w:rsidP="0032768E">
      <w:pPr>
        <w:pStyle w:val="PargrafodaLista"/>
        <w:numPr>
          <w:ilvl w:val="0"/>
          <w:numId w:val="15"/>
        </w:numPr>
        <w:suppressAutoHyphens/>
        <w:ind w:right="5"/>
        <w:rPr>
          <w:rFonts w:cs="Arial"/>
          <w:b/>
        </w:rPr>
      </w:pPr>
      <w:r w:rsidRPr="0032768E">
        <w:rPr>
          <w:rFonts w:cs="Arial"/>
          <w:b/>
        </w:rPr>
        <w:t xml:space="preserve">Relé automático PEXTRON URPE </w:t>
      </w:r>
      <w:r w:rsidR="00AD5D64" w:rsidRPr="0032768E">
        <w:rPr>
          <w:rFonts w:cs="Arial"/>
          <w:b/>
        </w:rPr>
        <w:t>1439</w:t>
      </w:r>
      <w:r w:rsidRPr="0032768E">
        <w:rPr>
          <w:rFonts w:cs="Arial"/>
          <w:b/>
        </w:rPr>
        <w:t>T</w:t>
      </w:r>
      <w:r w:rsidR="00AD5D64" w:rsidRPr="0032768E">
        <w:rPr>
          <w:rFonts w:cs="Arial"/>
          <w:b/>
        </w:rPr>
        <w:t>U</w:t>
      </w:r>
      <w:r w:rsidRPr="0032768E">
        <w:rPr>
          <w:rFonts w:cs="Arial"/>
          <w:b/>
        </w:rPr>
        <w:t>,</w:t>
      </w:r>
      <w:r w:rsidRPr="0032768E">
        <w:rPr>
          <w:rFonts w:cs="Arial"/>
        </w:rPr>
        <w:t xml:space="preserve"> da PEXTRON para proteção do disjuntor do alimentador geral, contém as seguintes funções: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9"/>
        <w:gridCol w:w="7478"/>
      </w:tblGrid>
      <w:tr w:rsidR="00ED0882" w:rsidRPr="009750A5" w14:paraId="7269A877" w14:textId="77777777" w:rsidTr="00E15EAC">
        <w:trPr>
          <w:jc w:val="center"/>
        </w:trPr>
        <w:tc>
          <w:tcPr>
            <w:tcW w:w="1279" w:type="dxa"/>
            <w:vAlign w:val="center"/>
          </w:tcPr>
          <w:p w14:paraId="133AB481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27</w:t>
            </w:r>
          </w:p>
        </w:tc>
        <w:tc>
          <w:tcPr>
            <w:tcW w:w="7478" w:type="dxa"/>
          </w:tcPr>
          <w:p w14:paraId="4E2B690B" w14:textId="401A3A1B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 xml:space="preserve">Relé de </w:t>
            </w:r>
            <w:r w:rsidR="0025484B" w:rsidRPr="009750A5">
              <w:rPr>
                <w:rFonts w:cs="Arial"/>
              </w:rPr>
              <w:t>Subtenso</w:t>
            </w:r>
            <w:r w:rsidRPr="009750A5">
              <w:rPr>
                <w:rFonts w:cs="Arial"/>
              </w:rPr>
              <w:t xml:space="preserve">, dando </w:t>
            </w:r>
            <w:proofErr w:type="spellStart"/>
            <w:r w:rsidRPr="009750A5">
              <w:rPr>
                <w:rFonts w:cs="Arial"/>
              </w:rPr>
              <w:t>trip</w:t>
            </w:r>
            <w:proofErr w:type="spellEnd"/>
            <w:r w:rsidRPr="009750A5">
              <w:rPr>
                <w:rFonts w:cs="Arial"/>
              </w:rPr>
              <w:t xml:space="preserve"> no disjuntor de média tensão.</w:t>
            </w:r>
          </w:p>
        </w:tc>
      </w:tr>
      <w:tr w:rsidR="00ED0882" w:rsidRPr="009750A5" w14:paraId="2838A0AC" w14:textId="77777777" w:rsidTr="00E15EAC">
        <w:trPr>
          <w:jc w:val="center"/>
        </w:trPr>
        <w:tc>
          <w:tcPr>
            <w:tcW w:w="1279" w:type="dxa"/>
            <w:vAlign w:val="center"/>
          </w:tcPr>
          <w:p w14:paraId="5A70E11A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47</w:t>
            </w:r>
          </w:p>
        </w:tc>
        <w:tc>
          <w:tcPr>
            <w:tcW w:w="7478" w:type="dxa"/>
          </w:tcPr>
          <w:p w14:paraId="377896A9" w14:textId="68E73607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 xml:space="preserve">Relé de </w:t>
            </w:r>
            <w:r w:rsidR="0025484B" w:rsidRPr="009750A5">
              <w:rPr>
                <w:rFonts w:cs="Arial"/>
              </w:rPr>
              <w:t>sequência</w:t>
            </w:r>
            <w:r w:rsidRPr="009750A5">
              <w:rPr>
                <w:rFonts w:cs="Arial"/>
              </w:rPr>
              <w:t xml:space="preserve"> de fase.</w:t>
            </w:r>
          </w:p>
        </w:tc>
      </w:tr>
      <w:tr w:rsidR="00ED0882" w:rsidRPr="009750A5" w14:paraId="067B4730" w14:textId="77777777" w:rsidTr="00E15EAC">
        <w:trPr>
          <w:jc w:val="center"/>
        </w:trPr>
        <w:tc>
          <w:tcPr>
            <w:tcW w:w="1279" w:type="dxa"/>
            <w:vAlign w:val="center"/>
          </w:tcPr>
          <w:p w14:paraId="1F78A0B5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50/51</w:t>
            </w:r>
          </w:p>
        </w:tc>
        <w:tc>
          <w:tcPr>
            <w:tcW w:w="7478" w:type="dxa"/>
          </w:tcPr>
          <w:p w14:paraId="71B9F866" w14:textId="77777777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Relé de Sobrecorrente instantâneo e temporizado de fase, com características de tempo inverso e com dispositivo de ação instantânea.</w:t>
            </w:r>
          </w:p>
        </w:tc>
      </w:tr>
      <w:tr w:rsidR="00ED0882" w:rsidRPr="009750A5" w14:paraId="0E811538" w14:textId="77777777" w:rsidTr="00E15EAC">
        <w:trPr>
          <w:jc w:val="center"/>
        </w:trPr>
        <w:tc>
          <w:tcPr>
            <w:tcW w:w="1279" w:type="dxa"/>
            <w:vAlign w:val="center"/>
          </w:tcPr>
          <w:p w14:paraId="42669FBB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50/51N</w:t>
            </w:r>
          </w:p>
        </w:tc>
        <w:tc>
          <w:tcPr>
            <w:tcW w:w="7478" w:type="dxa"/>
          </w:tcPr>
          <w:p w14:paraId="760A919C" w14:textId="77777777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Relé de Sobrecorrente instantâneo e temporizado de neutro, com características de tempo inverso e com dispositivo de ação instantânea</w:t>
            </w:r>
          </w:p>
        </w:tc>
      </w:tr>
      <w:tr w:rsidR="00ED0882" w:rsidRPr="009750A5" w14:paraId="12A69EBD" w14:textId="77777777" w:rsidTr="00E15EAC">
        <w:trPr>
          <w:jc w:val="center"/>
        </w:trPr>
        <w:tc>
          <w:tcPr>
            <w:tcW w:w="1279" w:type="dxa"/>
            <w:vAlign w:val="center"/>
          </w:tcPr>
          <w:p w14:paraId="0917CF74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59</w:t>
            </w:r>
          </w:p>
        </w:tc>
        <w:tc>
          <w:tcPr>
            <w:tcW w:w="7478" w:type="dxa"/>
          </w:tcPr>
          <w:p w14:paraId="717E3AE7" w14:textId="77777777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 xml:space="preserve">Relé de sobretensão, dando </w:t>
            </w:r>
            <w:proofErr w:type="spellStart"/>
            <w:r w:rsidRPr="009750A5">
              <w:rPr>
                <w:rFonts w:cs="Arial"/>
              </w:rPr>
              <w:t>trip</w:t>
            </w:r>
            <w:proofErr w:type="spellEnd"/>
            <w:r w:rsidRPr="009750A5">
              <w:rPr>
                <w:rFonts w:cs="Arial"/>
              </w:rPr>
              <w:t xml:space="preserve"> no disjuntor de média tensão.</w:t>
            </w:r>
          </w:p>
        </w:tc>
      </w:tr>
      <w:tr w:rsidR="00ED0882" w:rsidRPr="009750A5" w14:paraId="7BB19F0D" w14:textId="77777777" w:rsidTr="00E15EAC">
        <w:trPr>
          <w:jc w:val="center"/>
        </w:trPr>
        <w:tc>
          <w:tcPr>
            <w:tcW w:w="1279" w:type="dxa"/>
            <w:vAlign w:val="center"/>
          </w:tcPr>
          <w:p w14:paraId="1D248504" w14:textId="77777777" w:rsidR="00ED0882" w:rsidRPr="009750A5" w:rsidRDefault="00ED0882" w:rsidP="0032768E">
            <w:pPr>
              <w:suppressAutoHyphens/>
              <w:ind w:left="284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>59N</w:t>
            </w:r>
          </w:p>
        </w:tc>
        <w:tc>
          <w:tcPr>
            <w:tcW w:w="7478" w:type="dxa"/>
          </w:tcPr>
          <w:p w14:paraId="1D0FA174" w14:textId="5C9ED3A6" w:rsidR="00ED0882" w:rsidRPr="009750A5" w:rsidRDefault="00ED0882" w:rsidP="0032768E">
            <w:pPr>
              <w:suppressAutoHyphens/>
              <w:ind w:left="16" w:right="5" w:firstLine="22"/>
              <w:rPr>
                <w:rFonts w:cs="Arial"/>
              </w:rPr>
            </w:pPr>
            <w:r w:rsidRPr="009750A5">
              <w:rPr>
                <w:rFonts w:cs="Arial"/>
              </w:rPr>
              <w:t xml:space="preserve">Relé de tensão residual de </w:t>
            </w:r>
            <w:r w:rsidR="0025484B" w:rsidRPr="009750A5">
              <w:rPr>
                <w:rFonts w:cs="Arial"/>
              </w:rPr>
              <w:t>sequência</w:t>
            </w:r>
            <w:r w:rsidRPr="009750A5">
              <w:rPr>
                <w:rFonts w:cs="Arial"/>
              </w:rPr>
              <w:t xml:space="preserve"> zero 3Vo.</w:t>
            </w:r>
          </w:p>
        </w:tc>
      </w:tr>
    </w:tbl>
    <w:p w14:paraId="044070BA" w14:textId="14BCFEC5" w:rsidR="00513EF5" w:rsidRPr="00513EF5" w:rsidRDefault="00513EF5" w:rsidP="00513EF5">
      <w:pPr>
        <w:pStyle w:val="Ttulo2"/>
      </w:pPr>
      <w:bookmarkStart w:id="7" w:name="_Toc66710193"/>
      <w:r w:rsidRPr="00513EF5">
        <w:t>MEDI</w:t>
      </w:r>
      <w:r w:rsidR="0032768E">
        <w:t>ÇÃ</w:t>
      </w:r>
      <w:r w:rsidRPr="00513EF5">
        <w:t>O</w:t>
      </w:r>
      <w:bookmarkEnd w:id="7"/>
    </w:p>
    <w:p w14:paraId="49947A49" w14:textId="564E79A3" w:rsidR="00D9063B" w:rsidRPr="009750A5" w:rsidRDefault="00D9063B" w:rsidP="00D9063B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Nesta edificação a medição será única, individual e à remota e </w:t>
      </w:r>
      <w:proofErr w:type="spellStart"/>
      <w:r w:rsidRPr="009750A5">
        <w:rPr>
          <w:rFonts w:cs="Arial"/>
        </w:rPr>
        <w:t>telemedição</w:t>
      </w:r>
      <w:proofErr w:type="spellEnd"/>
      <w:r w:rsidRPr="009750A5">
        <w:rPr>
          <w:rFonts w:cs="Arial"/>
        </w:rPr>
        <w:t>.</w:t>
      </w:r>
      <w:r>
        <w:rPr>
          <w:rFonts w:cs="Arial"/>
        </w:rPr>
        <w:t xml:space="preserve"> Está previsto nos desenhos um eletroduto de 20 mm (3/4”), para condução do cabo da antena que ficara externa a edificação com altura em relação ao piso de 3m.</w:t>
      </w:r>
    </w:p>
    <w:p w14:paraId="0D24AEA5" w14:textId="77777777" w:rsidR="00513EF5" w:rsidRPr="009750A5" w:rsidRDefault="00513EF5" w:rsidP="00513EF5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>O compartimento, destinado aos equipamentos de medição conterão dispositivos para colocação de lacre da concessionária.</w:t>
      </w:r>
    </w:p>
    <w:p w14:paraId="534C96FA" w14:textId="77777777" w:rsidR="00513EF5" w:rsidRPr="009750A5" w:rsidRDefault="00513EF5" w:rsidP="00513EF5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A medição da subestação abrigada será instalada em compartimento exclusivo, no lado primário, tendo em vista que a carga instalada é superior a </w:t>
      </w:r>
      <w:r w:rsidRPr="009750A5">
        <w:rPr>
          <w:rFonts w:cs="Arial"/>
          <w:b/>
          <w:i/>
        </w:rPr>
        <w:t>300 kVA</w:t>
      </w:r>
      <w:r w:rsidRPr="009750A5">
        <w:rPr>
          <w:rFonts w:cs="Arial"/>
        </w:rPr>
        <w:t>.</w:t>
      </w:r>
    </w:p>
    <w:p w14:paraId="3C48E703" w14:textId="77777777" w:rsidR="00513EF5" w:rsidRPr="009750A5" w:rsidRDefault="00513EF5" w:rsidP="00513EF5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>A caixa de medição a ser utilizada será do tipo F5, para uso interno, padrão da concessionária.</w:t>
      </w:r>
    </w:p>
    <w:p w14:paraId="53D33109" w14:textId="77777777" w:rsidR="00513EF5" w:rsidRPr="009750A5" w:rsidRDefault="00513EF5" w:rsidP="00513EF5">
      <w:pPr>
        <w:spacing w:before="120" w:after="120"/>
        <w:rPr>
          <w:rFonts w:cs="Arial"/>
        </w:rPr>
      </w:pPr>
      <w:r w:rsidRPr="009750A5">
        <w:rPr>
          <w:rFonts w:cs="Arial"/>
        </w:rPr>
        <w:t>O cubículo de medição será composto:</w:t>
      </w:r>
    </w:p>
    <w:p w14:paraId="680D0307" w14:textId="4AC4CBBE" w:rsidR="00513EF5" w:rsidRPr="0032768E" w:rsidRDefault="00513EF5" w:rsidP="0032768E">
      <w:pPr>
        <w:pStyle w:val="PargrafodaLista"/>
        <w:numPr>
          <w:ilvl w:val="0"/>
          <w:numId w:val="14"/>
        </w:numPr>
        <w:spacing w:before="120" w:after="120"/>
        <w:rPr>
          <w:rFonts w:cs="Arial"/>
        </w:rPr>
      </w:pPr>
      <w:r w:rsidRPr="0032768E">
        <w:rPr>
          <w:rFonts w:cs="Arial"/>
        </w:rPr>
        <w:t xml:space="preserve">03 Transformadores de corrente de </w:t>
      </w:r>
      <w:r w:rsidR="00CE05FE" w:rsidRPr="0032768E">
        <w:rPr>
          <w:rFonts w:cs="Arial"/>
          <w:b/>
          <w:i/>
        </w:rPr>
        <w:t>5</w:t>
      </w:r>
      <w:r w:rsidRPr="0032768E">
        <w:rPr>
          <w:rFonts w:cs="Arial"/>
          <w:b/>
          <w:i/>
        </w:rPr>
        <w:t>0/5 A</w:t>
      </w:r>
      <w:r w:rsidRPr="0032768E">
        <w:rPr>
          <w:rFonts w:cs="Arial"/>
        </w:rPr>
        <w:t>;</w:t>
      </w:r>
    </w:p>
    <w:p w14:paraId="563A1ECD" w14:textId="77777777" w:rsidR="00513EF5" w:rsidRPr="0032768E" w:rsidRDefault="00513EF5" w:rsidP="0032768E">
      <w:pPr>
        <w:pStyle w:val="PargrafodaLista"/>
        <w:numPr>
          <w:ilvl w:val="0"/>
          <w:numId w:val="14"/>
        </w:numPr>
        <w:spacing w:before="120" w:after="120"/>
        <w:rPr>
          <w:rFonts w:cs="Arial"/>
        </w:rPr>
      </w:pPr>
      <w:r w:rsidRPr="0032768E">
        <w:rPr>
          <w:rFonts w:cs="Arial"/>
        </w:rPr>
        <w:t xml:space="preserve">03 Transformadores de potencial de </w:t>
      </w:r>
      <w:r w:rsidRPr="0032768E">
        <w:rPr>
          <w:rFonts w:cs="Arial"/>
          <w:b/>
          <w:i/>
        </w:rPr>
        <w:t>13.8/0.115 kV</w:t>
      </w:r>
      <w:r w:rsidRPr="0032768E">
        <w:rPr>
          <w:rFonts w:cs="Arial"/>
        </w:rPr>
        <w:t>; e</w:t>
      </w:r>
    </w:p>
    <w:p w14:paraId="0EBC7099" w14:textId="77777777" w:rsidR="00513EF5" w:rsidRPr="0032768E" w:rsidRDefault="00513EF5" w:rsidP="0032768E">
      <w:pPr>
        <w:pStyle w:val="PargrafodaLista"/>
        <w:numPr>
          <w:ilvl w:val="0"/>
          <w:numId w:val="14"/>
        </w:numPr>
        <w:spacing w:before="120" w:after="120"/>
        <w:rPr>
          <w:rFonts w:cs="Arial"/>
        </w:rPr>
      </w:pPr>
      <w:r w:rsidRPr="0032768E">
        <w:rPr>
          <w:rFonts w:cs="Arial"/>
        </w:rPr>
        <w:t xml:space="preserve">01 Caixa de medição, tipo </w:t>
      </w:r>
      <w:r w:rsidRPr="0032768E">
        <w:rPr>
          <w:rFonts w:cs="Arial"/>
          <w:b/>
          <w:i/>
        </w:rPr>
        <w:t>F5</w:t>
      </w:r>
      <w:r w:rsidRPr="0032768E">
        <w:rPr>
          <w:rFonts w:cs="Arial"/>
        </w:rPr>
        <w:t>, padrão da concessionária.</w:t>
      </w:r>
    </w:p>
    <w:p w14:paraId="7A4BBA1D" w14:textId="76C9A6F4" w:rsidR="00C24A71" w:rsidRPr="0032768E" w:rsidRDefault="00C24A71" w:rsidP="0032768E">
      <w:pPr>
        <w:pStyle w:val="PargrafodaLista"/>
        <w:numPr>
          <w:ilvl w:val="0"/>
          <w:numId w:val="14"/>
        </w:numPr>
        <w:spacing w:before="120" w:after="120"/>
        <w:rPr>
          <w:rFonts w:cs="Arial"/>
        </w:rPr>
      </w:pPr>
      <w:r w:rsidRPr="0032768E">
        <w:rPr>
          <w:rFonts w:cs="Arial"/>
        </w:rPr>
        <w:t>A estrutura tarifária adotada será a binômia.</w:t>
      </w:r>
    </w:p>
    <w:p w14:paraId="1E4F2C36" w14:textId="667DA597" w:rsidR="000A0952" w:rsidRDefault="000A0952" w:rsidP="000A0952">
      <w:pPr>
        <w:ind w:left="360"/>
        <w:rPr>
          <w:rFonts w:cs="Arial"/>
        </w:rPr>
      </w:pPr>
      <w:r w:rsidRPr="000A0952">
        <w:rPr>
          <w:rFonts w:cs="Arial"/>
        </w:rPr>
        <w:t xml:space="preserve">A medição será feita em caixa de chapa de ferro galvanizada, com dispositivo para selagem, </w:t>
      </w:r>
      <w:r w:rsidRPr="000A0952">
        <w:rPr>
          <w:rFonts w:cs="Arial"/>
          <w:b/>
          <w:i/>
        </w:rPr>
        <w:t>modelo F</w:t>
      </w:r>
      <w:r w:rsidR="001565D0">
        <w:rPr>
          <w:rFonts w:cs="Arial"/>
          <w:b/>
          <w:i/>
        </w:rPr>
        <w:t>5</w:t>
      </w:r>
      <w:r w:rsidRPr="000A0952">
        <w:rPr>
          <w:rFonts w:cs="Arial"/>
          <w:b/>
          <w:i/>
        </w:rPr>
        <w:t>,</w:t>
      </w:r>
      <w:r w:rsidRPr="000A0952">
        <w:rPr>
          <w:rFonts w:cs="Arial"/>
        </w:rPr>
        <w:t xml:space="preserve"> padrão CELPE para medição trifásica em BT com TC, uso externo, conforme desenho nº 1</w:t>
      </w:r>
      <w:r w:rsidR="001A16AA">
        <w:rPr>
          <w:rFonts w:cs="Arial"/>
        </w:rPr>
        <w:t>4</w:t>
      </w:r>
      <w:r w:rsidRPr="000A0952">
        <w:rPr>
          <w:rFonts w:cs="Arial"/>
        </w:rPr>
        <w:t xml:space="preserve"> do anexo II. Esta será instalada e associada ao poste </w:t>
      </w:r>
      <w:r w:rsidRPr="000A0952">
        <w:rPr>
          <w:rFonts w:cs="Arial"/>
        </w:rPr>
        <w:lastRenderedPageBreak/>
        <w:t>com a construção de mureta de alvenaria compatível com as dimensões da caixa de medição e proteção.</w:t>
      </w:r>
    </w:p>
    <w:p w14:paraId="1544934F" w14:textId="77777777" w:rsidR="00FA1E7D" w:rsidRDefault="00FA1E7D" w:rsidP="00AA1656">
      <w:pPr>
        <w:pStyle w:val="Ttulo3"/>
      </w:pPr>
      <w:bookmarkStart w:id="8" w:name="_Toc66710194"/>
      <w:r>
        <w:t>Determinação da tubulação de descida até o quadro de medição.</w:t>
      </w:r>
      <w:bookmarkEnd w:id="8"/>
    </w:p>
    <w:p w14:paraId="02D3F42D" w14:textId="7106F48A" w:rsidR="00FA1E7D" w:rsidRDefault="00FA1E7D" w:rsidP="00FA1E7D">
      <w:pPr>
        <w:ind w:firstLine="567"/>
        <w:rPr>
          <w:rFonts w:cs="Arial"/>
        </w:rPr>
      </w:pPr>
      <w:r>
        <w:rPr>
          <w:rFonts w:cs="Arial"/>
        </w:rPr>
        <w:t>Conforme NBR 5597, o diâmetro do conduto de descida adotado será</w:t>
      </w:r>
      <w:r w:rsidRPr="00B8756E">
        <w:rPr>
          <w:rFonts w:cs="Arial"/>
          <w:b/>
          <w:i/>
        </w:rPr>
        <w:t xml:space="preserve"> </w:t>
      </w:r>
      <w:r w:rsidR="00AD5D64">
        <w:rPr>
          <w:rFonts w:cs="Arial"/>
          <w:b/>
          <w:i/>
        </w:rPr>
        <w:t>2</w:t>
      </w:r>
      <w:r w:rsidR="004130DB">
        <w:rPr>
          <w:rFonts w:cs="Arial"/>
          <w:b/>
          <w:i/>
        </w:rPr>
        <w:t xml:space="preserve"> x </w:t>
      </w:r>
      <w:r w:rsidRPr="00B8756E">
        <w:rPr>
          <w:rFonts w:cs="Arial"/>
          <w:b/>
          <w:i/>
        </w:rPr>
        <w:t xml:space="preserve">eletroduto de ferro galvanizado de </w:t>
      </w:r>
      <w:r>
        <w:rPr>
          <w:rFonts w:cs="Arial"/>
          <w:b/>
          <w:i/>
        </w:rPr>
        <w:t>4</w:t>
      </w:r>
      <w:r w:rsidRPr="00B8756E">
        <w:rPr>
          <w:rFonts w:cs="Arial"/>
          <w:b/>
          <w:i/>
        </w:rPr>
        <w:t>”</w:t>
      </w:r>
      <w:r>
        <w:rPr>
          <w:rFonts w:cs="Arial"/>
        </w:rPr>
        <w:t>, por possuir espaçamento suficiente para comportar os condutores adotando os 40% de ocupação admissíveis, conforme NBR 5410.</w:t>
      </w:r>
    </w:p>
    <w:p w14:paraId="184B17D9" w14:textId="09992912" w:rsidR="00FA1E7D" w:rsidRDefault="00FA1E7D" w:rsidP="00FA1E7D">
      <w:pPr>
        <w:ind w:firstLine="567"/>
        <w:rPr>
          <w:rFonts w:cs="Arial"/>
        </w:rPr>
      </w:pPr>
      <w:r>
        <w:rPr>
          <w:rFonts w:cs="Arial"/>
        </w:rPr>
        <w:t xml:space="preserve">Se </w:t>
      </w:r>
      <w:r w:rsidRPr="00355F5D">
        <w:rPr>
          <w:rFonts w:cs="Arial"/>
          <w:vertAlign w:val="subscript"/>
        </w:rPr>
        <w:t>(</w:t>
      </w:r>
      <w:r>
        <w:rPr>
          <w:rFonts w:cs="Arial"/>
          <w:vertAlign w:val="subscript"/>
        </w:rPr>
        <w:t>4</w:t>
      </w:r>
      <w:r w:rsidRPr="00355F5D">
        <w:rPr>
          <w:rFonts w:cs="Arial"/>
          <w:vertAlign w:val="subscript"/>
        </w:rPr>
        <w:t xml:space="preserve">) </w:t>
      </w:r>
      <w:r>
        <w:rPr>
          <w:rFonts w:cs="Arial"/>
        </w:rPr>
        <w:t xml:space="preserve">= </w:t>
      </w:r>
      <w:r w:rsidR="00295602">
        <w:rPr>
          <w:rFonts w:cs="Arial"/>
        </w:rPr>
        <w:t>5</w:t>
      </w:r>
      <w:r>
        <w:rPr>
          <w:rFonts w:cs="Arial"/>
        </w:rPr>
        <w:t>.3</w:t>
      </w:r>
      <w:r w:rsidR="00295602">
        <w:rPr>
          <w:rFonts w:cs="Arial"/>
        </w:rPr>
        <w:t>33</w:t>
      </w:r>
      <w:r>
        <w:rPr>
          <w:rFonts w:cs="Arial"/>
        </w:rPr>
        <w:t xml:space="preserve"> mm² (&gt; 3 Cabos: 40%);</w:t>
      </w:r>
    </w:p>
    <w:p w14:paraId="13DEADD6" w14:textId="201BEAD6" w:rsidR="00FA1E7D" w:rsidRDefault="00FA1E7D" w:rsidP="00FA1E7D">
      <w:pPr>
        <w:ind w:firstLine="567"/>
        <w:rPr>
          <w:rFonts w:cs="Arial"/>
        </w:rPr>
      </w:pPr>
      <w:proofErr w:type="spellStart"/>
      <w:r>
        <w:rPr>
          <w:rFonts w:cs="Arial"/>
        </w:rPr>
        <w:t>Sc</w:t>
      </w:r>
      <w:proofErr w:type="spellEnd"/>
      <w:r>
        <w:rPr>
          <w:rFonts w:cs="Arial"/>
        </w:rPr>
        <w:t xml:space="preserve"> </w:t>
      </w:r>
      <w:r w:rsidRPr="00355F5D">
        <w:rPr>
          <w:rFonts w:cs="Arial"/>
          <w:vertAlign w:val="subscript"/>
        </w:rPr>
        <w:t>(</w:t>
      </w:r>
      <w:r w:rsidR="00952845">
        <w:rPr>
          <w:rFonts w:cs="Arial"/>
          <w:vertAlign w:val="subscript"/>
        </w:rPr>
        <w:t>50</w:t>
      </w:r>
      <w:r w:rsidRPr="00355F5D">
        <w:rPr>
          <w:rFonts w:cs="Arial"/>
          <w:vertAlign w:val="subscript"/>
        </w:rPr>
        <w:t xml:space="preserve"> mm²)</w:t>
      </w:r>
      <w:r>
        <w:rPr>
          <w:rFonts w:cs="Arial"/>
          <w:vertAlign w:val="subscript"/>
        </w:rPr>
        <w:t xml:space="preserve"> </w:t>
      </w:r>
      <w:r>
        <w:rPr>
          <w:rFonts w:cs="Arial"/>
        </w:rPr>
        <w:t xml:space="preserve">= </w:t>
      </w:r>
      <w:r w:rsidR="00B77F23">
        <w:rPr>
          <w:rFonts w:cs="Arial"/>
        </w:rPr>
        <w:t>591</w:t>
      </w:r>
      <w:r>
        <w:rPr>
          <w:rFonts w:cs="Arial"/>
        </w:rPr>
        <w:t>,</w:t>
      </w:r>
      <w:r w:rsidR="00B77F23">
        <w:rPr>
          <w:rFonts w:cs="Arial"/>
        </w:rPr>
        <w:t>20</w:t>
      </w:r>
      <w:r>
        <w:rPr>
          <w:rFonts w:cs="Arial"/>
        </w:rPr>
        <w:t xml:space="preserve"> mm², </w:t>
      </w:r>
      <w:proofErr w:type="spellStart"/>
      <w:r>
        <w:rPr>
          <w:rFonts w:cs="Arial"/>
        </w:rPr>
        <w:t>St</w:t>
      </w:r>
      <w:proofErr w:type="spellEnd"/>
      <w:r>
        <w:rPr>
          <w:rFonts w:cs="Arial"/>
        </w:rPr>
        <w:t xml:space="preserve"> = 4 x </w:t>
      </w:r>
      <w:proofErr w:type="spellStart"/>
      <w:r>
        <w:rPr>
          <w:rFonts w:cs="Arial"/>
        </w:rPr>
        <w:t>Sc</w:t>
      </w:r>
      <w:proofErr w:type="spellEnd"/>
      <w:r>
        <w:rPr>
          <w:rFonts w:cs="Arial"/>
        </w:rPr>
        <w:t xml:space="preserve"> </w:t>
      </w:r>
      <w:r w:rsidRPr="00355F5D">
        <w:rPr>
          <w:rFonts w:cs="Arial"/>
          <w:vertAlign w:val="subscript"/>
        </w:rPr>
        <w:t>(</w:t>
      </w:r>
      <w:r w:rsidR="00952845">
        <w:rPr>
          <w:rFonts w:cs="Arial"/>
          <w:vertAlign w:val="subscript"/>
        </w:rPr>
        <w:t>50</w:t>
      </w:r>
      <w:r w:rsidRPr="00355F5D">
        <w:rPr>
          <w:rFonts w:cs="Arial"/>
          <w:vertAlign w:val="subscript"/>
        </w:rPr>
        <w:t xml:space="preserve"> mm²)</w:t>
      </w:r>
      <w:r>
        <w:rPr>
          <w:rFonts w:cs="Arial"/>
          <w:vertAlign w:val="subscript"/>
        </w:rPr>
        <w:t xml:space="preserve"> </w:t>
      </w:r>
      <w:r>
        <w:rPr>
          <w:rFonts w:cs="Arial"/>
        </w:rPr>
        <w:t xml:space="preserve">= 4 x </w:t>
      </w:r>
      <w:r w:rsidR="00AA3E7B">
        <w:rPr>
          <w:rFonts w:cs="Arial"/>
        </w:rPr>
        <w:t>591</w:t>
      </w:r>
      <w:r>
        <w:rPr>
          <w:rFonts w:cs="Arial"/>
        </w:rPr>
        <w:t>,</w:t>
      </w:r>
      <w:r w:rsidR="00AA3E7B">
        <w:rPr>
          <w:rFonts w:cs="Arial"/>
        </w:rPr>
        <w:t>20</w:t>
      </w:r>
      <w:r>
        <w:rPr>
          <w:rFonts w:cs="Arial"/>
        </w:rPr>
        <w:t xml:space="preserve"> mm² = </w:t>
      </w:r>
      <w:r w:rsidR="00AA3E7B">
        <w:rPr>
          <w:rFonts w:cs="Arial"/>
        </w:rPr>
        <w:t>2</w:t>
      </w:r>
      <w:r w:rsidR="00544679">
        <w:rPr>
          <w:rFonts w:cs="Arial"/>
        </w:rPr>
        <w:t>364</w:t>
      </w:r>
      <w:r>
        <w:rPr>
          <w:rFonts w:cs="Arial"/>
        </w:rPr>
        <w:t>,8 mm²</w:t>
      </w:r>
    </w:p>
    <w:p w14:paraId="7D46840B" w14:textId="5DC12AE6" w:rsidR="00FA1E7D" w:rsidRDefault="00FA1E7D" w:rsidP="00FA1E7D">
      <w:pPr>
        <w:ind w:left="360"/>
        <w:rPr>
          <w:rFonts w:cs="Arial"/>
        </w:rPr>
      </w:pPr>
      <w:r>
        <w:rPr>
          <w:rFonts w:cs="Arial"/>
        </w:rPr>
        <w:t>Portanto, o conduto adotado é compatível com o condutor escolhido</w:t>
      </w:r>
      <w:r w:rsidR="00AF65E9">
        <w:rPr>
          <w:rFonts w:cs="Arial"/>
        </w:rPr>
        <w:t xml:space="preserve"> e seguirá subterrâneo ao solo da caixa de passagem do poste do ponto de entrada a caixa próximo a entrado do cubículo de medição.</w:t>
      </w:r>
    </w:p>
    <w:p w14:paraId="175AFE2C" w14:textId="30670D09" w:rsidR="006F16FC" w:rsidRPr="000A0952" w:rsidRDefault="006F16FC" w:rsidP="00FA1E7D">
      <w:pPr>
        <w:ind w:left="360"/>
        <w:rPr>
          <w:rFonts w:cs="Arial"/>
        </w:rPr>
      </w:pPr>
      <w:r>
        <w:rPr>
          <w:rFonts w:cs="Arial"/>
        </w:rPr>
        <w:t>No</w:t>
      </w:r>
      <w:r w:rsidR="00FD2720">
        <w:rPr>
          <w:rFonts w:cs="Arial"/>
        </w:rPr>
        <w:t>s</w:t>
      </w:r>
      <w:r>
        <w:rPr>
          <w:rFonts w:cs="Arial"/>
        </w:rPr>
        <w:t xml:space="preserve"> desenhos é visto que a rede de distribuição é oriunda de rede aérea em tensão primária de distribuição, sendo necessário que a partir do poste da mufla (ponto de conexão) sejam construídas caixas de passagens do tipo PP</w:t>
      </w:r>
      <w:r w:rsidR="00AF65E9">
        <w:rPr>
          <w:rFonts w:cs="Arial"/>
        </w:rPr>
        <w:t xml:space="preserve">, com dimensões internas de 1,20 x 0,80 x 1,30 m (Comprimento x Largura x Profundidade), com espaçamento de 30 m entre uma e outra. </w:t>
      </w:r>
      <w:r w:rsidR="00AF65E9" w:rsidRPr="00AF65E9">
        <w:rPr>
          <w:rFonts w:cs="Arial"/>
        </w:rPr>
        <w:t>Deve ser prevista uma volta de cabo com 15 vezes o diâmetro do cabo nos poços de transição da rede aérea para subterrânea para emergências futuras</w:t>
      </w:r>
      <w:r w:rsidR="00AF65E9">
        <w:rPr>
          <w:rFonts w:cs="Arial"/>
        </w:rPr>
        <w:t>.</w:t>
      </w:r>
    </w:p>
    <w:p w14:paraId="058A58D0" w14:textId="77777777" w:rsidR="004510D8" w:rsidRPr="009750A5" w:rsidRDefault="004510D8" w:rsidP="004510D8">
      <w:pPr>
        <w:pStyle w:val="Ttulo1"/>
      </w:pPr>
      <w:bookmarkStart w:id="9" w:name="_Toc66710195"/>
      <w:r w:rsidRPr="009750A5">
        <w:t>ATERRAMENTO:</w:t>
      </w:r>
      <w:bookmarkEnd w:id="9"/>
    </w:p>
    <w:p w14:paraId="277DCDF9" w14:textId="35FC7CCD" w:rsidR="004510D8" w:rsidRPr="009750A5" w:rsidRDefault="004510D8" w:rsidP="004510D8">
      <w:pPr>
        <w:ind w:firstLine="567"/>
        <w:rPr>
          <w:rFonts w:cs="Arial"/>
        </w:rPr>
      </w:pPr>
      <w:r w:rsidRPr="009750A5">
        <w:rPr>
          <w:rFonts w:cs="Arial"/>
        </w:rPr>
        <w:t xml:space="preserve">A malha de aterramento será constituída por </w:t>
      </w:r>
      <w:r w:rsidR="00266EB7">
        <w:rPr>
          <w:rFonts w:cs="Arial"/>
          <w:b/>
          <w:i/>
        </w:rPr>
        <w:t>04</w:t>
      </w:r>
      <w:r w:rsidRPr="009750A5">
        <w:rPr>
          <w:rFonts w:cs="Arial"/>
        </w:rPr>
        <w:t xml:space="preserve"> hastes cobreadas de </w:t>
      </w:r>
      <w:r w:rsidRPr="009750A5">
        <w:rPr>
          <w:rFonts w:cs="Arial"/>
          <w:b/>
          <w:i/>
        </w:rPr>
        <w:t>16 x 2400 mm</w:t>
      </w:r>
      <w:r w:rsidRPr="009750A5">
        <w:rPr>
          <w:rFonts w:cs="Arial"/>
        </w:rPr>
        <w:t xml:space="preserve"> interligadas entre si com cabo nu de </w:t>
      </w:r>
      <w:r w:rsidRPr="009750A5">
        <w:rPr>
          <w:rFonts w:cs="Arial"/>
          <w:b/>
          <w:i/>
        </w:rPr>
        <w:t xml:space="preserve">50 mm² </w:t>
      </w:r>
      <w:r w:rsidRPr="009750A5">
        <w:rPr>
          <w:rFonts w:cs="Arial"/>
        </w:rPr>
        <w:t xml:space="preserve">por meio de solda exotérmica. Serão instaladas caixas de inspeção de diâmetro de </w:t>
      </w:r>
      <w:r w:rsidRPr="009750A5">
        <w:rPr>
          <w:rFonts w:cs="Arial"/>
          <w:b/>
          <w:i/>
        </w:rPr>
        <w:t>300 x 300 mm</w:t>
      </w:r>
      <w:r w:rsidRPr="009750A5">
        <w:rPr>
          <w:rFonts w:cs="Arial"/>
        </w:rPr>
        <w:t xml:space="preserve"> nos locais indicados em projeto.</w:t>
      </w:r>
    </w:p>
    <w:p w14:paraId="20539BF5" w14:textId="453AA595" w:rsidR="004510D8" w:rsidRPr="009750A5" w:rsidRDefault="004510D8" w:rsidP="004510D8">
      <w:pPr>
        <w:spacing w:before="120" w:after="120"/>
        <w:ind w:firstLine="567"/>
        <w:rPr>
          <w:rFonts w:cs="Arial"/>
        </w:rPr>
      </w:pPr>
      <w:r w:rsidRPr="009750A5">
        <w:rPr>
          <w:rFonts w:cs="Arial"/>
        </w:rPr>
        <w:t xml:space="preserve">O aterramento da carcaça do transformador será de </w:t>
      </w:r>
      <w:r w:rsidRPr="009750A5">
        <w:rPr>
          <w:rFonts w:cs="Arial"/>
          <w:b/>
          <w:i/>
        </w:rPr>
        <w:t>50 mm²</w:t>
      </w:r>
      <w:r w:rsidRPr="009750A5">
        <w:rPr>
          <w:rFonts w:cs="Arial"/>
        </w:rPr>
        <w:t xml:space="preserve"> e o neutro será de </w:t>
      </w:r>
      <w:r w:rsidRPr="009750A5">
        <w:rPr>
          <w:rFonts w:cs="Arial"/>
          <w:b/>
          <w:i/>
        </w:rPr>
        <w:t>185 mm²,</w:t>
      </w:r>
      <w:r w:rsidRPr="009750A5">
        <w:rPr>
          <w:rFonts w:cs="Arial"/>
        </w:rPr>
        <w:t xml:space="preserve"> enquanto os equipamentos de proteção e seccionamento, caixa de medição e partes metálicas não energizadas das instalações será único, interligado e não deverá conter emenda. Será utilizado cabo de cobre nu, </w:t>
      </w:r>
      <w:r w:rsidR="00C45E22">
        <w:rPr>
          <w:rFonts w:cs="Arial"/>
          <w:b/>
          <w:i/>
        </w:rPr>
        <w:t>3</w:t>
      </w:r>
      <w:r w:rsidRPr="009750A5">
        <w:rPr>
          <w:rFonts w:cs="Arial"/>
          <w:b/>
          <w:i/>
        </w:rPr>
        <w:t>5 mm²</w:t>
      </w:r>
      <w:r w:rsidRPr="009750A5">
        <w:rPr>
          <w:rFonts w:cs="Arial"/>
        </w:rPr>
        <w:t>, encordoamento Classe 2.</w:t>
      </w:r>
    </w:p>
    <w:p w14:paraId="4292B8F5" w14:textId="77777777" w:rsidR="004510D8" w:rsidRDefault="004510D8" w:rsidP="004510D8">
      <w:pPr>
        <w:spacing w:before="120" w:after="120"/>
        <w:ind w:firstLine="567"/>
        <w:rPr>
          <w:rFonts w:cs="Arial"/>
        </w:rPr>
      </w:pPr>
      <w:r w:rsidRPr="00254B99">
        <w:rPr>
          <w:rFonts w:cs="Arial"/>
        </w:rPr>
        <w:t>Todas as partes metálicas não energizadas da instalação deverão ser aterradas.</w:t>
      </w:r>
    </w:p>
    <w:p w14:paraId="11CE5644" w14:textId="77777777" w:rsidR="004510D8" w:rsidRPr="009750A5" w:rsidRDefault="004510D8" w:rsidP="004510D8">
      <w:pPr>
        <w:spacing w:before="120" w:after="120"/>
        <w:ind w:firstLine="567"/>
        <w:rPr>
          <w:rFonts w:cs="Arial"/>
        </w:rPr>
      </w:pPr>
      <w:r>
        <w:rPr>
          <w:rFonts w:cs="Arial"/>
        </w:rPr>
        <w:t xml:space="preserve">As malhas de aterramento serão interligadas na Caixa de equalização, localizada dentro da edificação. Barramento </w:t>
      </w:r>
      <w:r w:rsidRPr="009750A5">
        <w:rPr>
          <w:rFonts w:cs="Arial"/>
        </w:rPr>
        <w:t>de 150 x 150 x 6,30 mm.</w:t>
      </w:r>
    </w:p>
    <w:p w14:paraId="4D563AF1" w14:textId="33D01837" w:rsidR="00ED0882" w:rsidRDefault="004510D8" w:rsidP="00C64876">
      <w:r w:rsidRPr="00E421B6">
        <w:lastRenderedPageBreak/>
        <w:t xml:space="preserve">A resistência de aterramento máxima permissível é </w:t>
      </w:r>
      <w:r w:rsidRPr="00F40685">
        <w:rPr>
          <w:b/>
          <w:i/>
        </w:rPr>
        <w:t xml:space="preserve">10 Ω </w:t>
      </w:r>
      <w:r w:rsidRPr="00E421B6">
        <w:t>em qualquer estação do ano</w:t>
      </w:r>
    </w:p>
    <w:p w14:paraId="64A4B0A6" w14:textId="42484171" w:rsidR="00E44BE9" w:rsidRDefault="00E44BE9" w:rsidP="00D773C0">
      <w:pPr>
        <w:pStyle w:val="Ttulo1"/>
      </w:pPr>
      <w:bookmarkStart w:id="10" w:name="_Toc66710196"/>
      <w:r>
        <w:t>DEMANDA</w:t>
      </w:r>
      <w:r w:rsidR="00437029">
        <w:t xml:space="preserve"> PREVISTA, CRONOGRMA PROVÁVEL</w:t>
      </w:r>
      <w:r>
        <w:t xml:space="preserve"> E PROTEÇÃO SECUNDÁRIA</w:t>
      </w:r>
      <w:r w:rsidRPr="009C3BEA">
        <w:t>:</w:t>
      </w:r>
      <w:bookmarkEnd w:id="10"/>
    </w:p>
    <w:p w14:paraId="44CCF1F4" w14:textId="00B259F4" w:rsidR="00437029" w:rsidRDefault="00437029" w:rsidP="00437029">
      <w:pPr>
        <w:ind w:firstLine="567"/>
        <w:rPr>
          <w:rFonts w:cs="Arial"/>
        </w:rPr>
      </w:pPr>
      <w:r>
        <w:rPr>
          <w:rFonts w:cs="Arial"/>
        </w:rPr>
        <w:t>Conforme recomenda o requisito 4.31.1 o cálculo da demanda prevista para a instalação e o cronograma provável da projeção da demanda para um horizonte de pelos menos cinco anos devem ser elaborados pelo interessado. Nos itens abaixo são descritos o cálculo da demanda prevista, o gráfico que representa o cronograma</w:t>
      </w:r>
      <w:r w:rsidR="00882201">
        <w:rPr>
          <w:rFonts w:cs="Arial"/>
        </w:rPr>
        <w:t xml:space="preserve"> provável de utilização da demanda de energia nos próximos cinco anos </w:t>
      </w:r>
    </w:p>
    <w:p w14:paraId="0DCAFB53" w14:textId="3D43B30A" w:rsidR="00437029" w:rsidRDefault="00437029" w:rsidP="00437029">
      <w:pPr>
        <w:pStyle w:val="Ttulo2"/>
      </w:pPr>
      <w:bookmarkStart w:id="11" w:name="_Toc66710197"/>
      <w:r>
        <w:t>Demanda prevista</w:t>
      </w:r>
      <w:bookmarkEnd w:id="11"/>
    </w:p>
    <w:p w14:paraId="500CD7DB" w14:textId="3CF0D614" w:rsidR="00437029" w:rsidRDefault="00282720" w:rsidP="00437029">
      <w:r>
        <w:t xml:space="preserve">A demanda prevista da edificação, tendo em vista que se trata de uma edificação a ser construída, será calculada em função da carga instalada prevista </w:t>
      </w:r>
      <w:proofErr w:type="gramStart"/>
      <w:r>
        <w:t>à</w:t>
      </w:r>
      <w:proofErr w:type="gramEnd"/>
      <w:r>
        <w:t xml:space="preserve"> instalações elétricas projetadas. Segundo este critério a demanda da edificação será calculado em função seguinte equação:</w:t>
      </w:r>
    </w:p>
    <w:p w14:paraId="7E518C50" w14:textId="6DC10B39" w:rsidR="00282720" w:rsidRDefault="00282720" w:rsidP="00282720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De=a+c+d</m:t>
        </m:r>
      </m:oMath>
      <w:r>
        <w:rPr>
          <w:rFonts w:eastAsiaTheme="minorEastAsia"/>
        </w:rPr>
        <w:t>, onde:</w:t>
      </w:r>
    </w:p>
    <w:p w14:paraId="5B7830C6" w14:textId="0C8C0376" w:rsidR="00282720" w:rsidRDefault="00282720" w:rsidP="00282720">
      <w:pPr>
        <w:pStyle w:val="PargrafodaLista"/>
        <w:numPr>
          <w:ilvl w:val="0"/>
          <w:numId w:val="16"/>
        </w:numPr>
      </w:pPr>
      <w:r>
        <w:t xml:space="preserve">“a” – </w:t>
      </w:r>
      <w:proofErr w:type="gramStart"/>
      <w:r>
        <w:t>representa</w:t>
      </w:r>
      <w:proofErr w:type="gramEnd"/>
      <w:r>
        <w:t xml:space="preserve"> a soma das demandas referente à iluminação e tomadas de uso geral, dado que a </w:t>
      </w:r>
      <w:r w:rsidR="00E50CD7">
        <w:t>classe de atividade é de escritório o cálculo da parcela da demanda será calculado através da seguinte equação:</w:t>
      </w:r>
    </w:p>
    <w:p w14:paraId="584C3414" w14:textId="1FB4EDE0" w:rsidR="00E50CD7" w:rsidRDefault="00E50CD7" w:rsidP="00E50CD7">
      <w:pPr>
        <w:pStyle w:val="PargrafodaLista"/>
        <w:ind w:left="1429" w:firstLine="0"/>
        <w:jc w:val="center"/>
      </w:pP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=P(a)</m:t>
        </m:r>
      </m:oMath>
      <w:r>
        <w:rPr>
          <w:rFonts w:eastAsiaTheme="minorEastAsia"/>
        </w:rPr>
        <w:t xml:space="preserve">, se P(a) </w:t>
      </w:r>
      <w:r>
        <w:rPr>
          <w:rFonts w:eastAsiaTheme="minorEastAsia" w:cs="Times New Roman"/>
        </w:rPr>
        <w:t>≤</w:t>
      </w:r>
      <w:r>
        <w:rPr>
          <w:rFonts w:eastAsiaTheme="minorEastAsia"/>
        </w:rPr>
        <w:t xml:space="preserve"> 20 kVA</w:t>
      </w:r>
    </w:p>
    <w:p w14:paraId="16007B13" w14:textId="7B166E55" w:rsidR="00E50CD7" w:rsidRDefault="00E50CD7" w:rsidP="00E50CD7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=20kVA+0,7*(P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-20 kVA)</m:t>
        </m:r>
      </m:oMath>
      <w:r>
        <w:rPr>
          <w:rFonts w:eastAsiaTheme="minorEastAsia"/>
        </w:rPr>
        <w:t>, se exceder 20 kVA</w:t>
      </w:r>
    </w:p>
    <w:p w14:paraId="2693A96B" w14:textId="7360B42F" w:rsidR="00E50CD7" w:rsidRDefault="00E50CD7" w:rsidP="00E50CD7">
      <w:pPr>
        <w:pStyle w:val="PargrafodaLista"/>
        <w:numPr>
          <w:ilvl w:val="0"/>
          <w:numId w:val="16"/>
        </w:numPr>
        <w:rPr>
          <w:szCs w:val="24"/>
        </w:rPr>
      </w:pPr>
      <w:r w:rsidRPr="00E50CD7">
        <w:rPr>
          <w:szCs w:val="24"/>
        </w:rPr>
        <w:t xml:space="preserve">“c” representa a demanda dos aparelhos de </w:t>
      </w:r>
      <w:proofErr w:type="gramStart"/>
      <w:r w:rsidRPr="00E50CD7">
        <w:rPr>
          <w:szCs w:val="24"/>
        </w:rPr>
        <w:t>ar condicionado</w:t>
      </w:r>
      <w:proofErr w:type="gramEnd"/>
      <w:r w:rsidRPr="00E50CD7">
        <w:rPr>
          <w:szCs w:val="24"/>
        </w:rPr>
        <w:t xml:space="preserve"> calculada aplicando-se os fatores de demanda do quadro 7, de NOR.DISTRIBU-ENGE-0022</w:t>
      </w:r>
      <w:r>
        <w:rPr>
          <w:szCs w:val="24"/>
        </w:rPr>
        <w:t>. Conforme tabela 01 em função do quadro 7. O fator de demanda adotado será</w:t>
      </w:r>
      <w:r w:rsidR="00C868A3">
        <w:rPr>
          <w:szCs w:val="24"/>
        </w:rPr>
        <w:t xml:space="preserve"> 0,70, visto que serão utilizado</w:t>
      </w:r>
      <w:r w:rsidR="002A298B">
        <w:rPr>
          <w:szCs w:val="24"/>
        </w:rPr>
        <w:t>s</w:t>
      </w:r>
      <w:r w:rsidR="00C868A3">
        <w:rPr>
          <w:szCs w:val="24"/>
        </w:rPr>
        <w:t xml:space="preserve"> 71 condicionadores de ar</w:t>
      </w:r>
    </w:p>
    <w:p w14:paraId="57832F52" w14:textId="7011E552" w:rsidR="00C868A3" w:rsidRPr="00E50CD7" w:rsidRDefault="00C868A3" w:rsidP="00E50CD7">
      <w:pPr>
        <w:pStyle w:val="PargrafodaLista"/>
        <w:numPr>
          <w:ilvl w:val="0"/>
          <w:numId w:val="16"/>
        </w:numPr>
        <w:rPr>
          <w:szCs w:val="24"/>
        </w:rPr>
      </w:pPr>
      <w:r>
        <w:rPr>
          <w:szCs w:val="24"/>
        </w:rPr>
        <w:t xml:space="preserve">“d” representa a demanda dos motores monofásicos e trifásicos calculada utilizando os valores dos quadros 08 e 09, de </w:t>
      </w:r>
      <w:proofErr w:type="spellStart"/>
      <w:r w:rsidRPr="00E50CD7">
        <w:rPr>
          <w:szCs w:val="24"/>
        </w:rPr>
        <w:t>de</w:t>
      </w:r>
      <w:proofErr w:type="spellEnd"/>
      <w:r w:rsidRPr="00E50CD7">
        <w:rPr>
          <w:szCs w:val="24"/>
        </w:rPr>
        <w:t xml:space="preserve"> NOR.DISTRIBU-ENGE-0022</w:t>
      </w:r>
      <w:r>
        <w:rPr>
          <w:szCs w:val="24"/>
        </w:rPr>
        <w:t>. Conforme quadro 08.</w:t>
      </w:r>
    </w:p>
    <w:tbl>
      <w:tblPr>
        <w:tblW w:w="850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1134"/>
        <w:gridCol w:w="1418"/>
        <w:gridCol w:w="1134"/>
      </w:tblGrid>
      <w:tr w:rsidR="00C868A3" w:rsidRPr="00C868A3" w14:paraId="5522CF3F" w14:textId="6AB68561" w:rsidTr="00C868A3">
        <w:trPr>
          <w:trHeight w:val="259"/>
        </w:trPr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220C" w14:textId="51BF17EC" w:rsidR="00C868A3" w:rsidRPr="00C868A3" w:rsidRDefault="00C868A3" w:rsidP="00C868A3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Descrição da carga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EEE3" w14:textId="2C78DC94" w:rsidR="00C868A3" w:rsidRPr="00C868A3" w:rsidRDefault="00C868A3" w:rsidP="00C868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Quant.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7413" w14:textId="6F1D6C96" w:rsidR="00C868A3" w:rsidRPr="00C868A3" w:rsidRDefault="00C868A3" w:rsidP="00C868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P(kVA)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7CA2E" w14:textId="6D4BE5B6" w:rsidR="00C868A3" w:rsidRPr="00C868A3" w:rsidRDefault="00C868A3" w:rsidP="00C868A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D(kVA)</w:t>
            </w:r>
          </w:p>
        </w:tc>
      </w:tr>
      <w:tr w:rsidR="00A6580F" w:rsidRPr="00C868A3" w14:paraId="7B326D3F" w14:textId="4C842EC9" w:rsidTr="00C94F07">
        <w:trPr>
          <w:trHeight w:val="259"/>
        </w:trPr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165B" w14:textId="66B09A09" w:rsidR="00A6580F" w:rsidRPr="00C868A3" w:rsidRDefault="00A6580F" w:rsidP="00A6580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Bombas de recalque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monofásica</w:t>
            </w: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(4 x 1.950W) - Bombas de recalque água fria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8FA6" w14:textId="24AE37CE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D767" w14:textId="5936ABCE" w:rsidR="00A6580F" w:rsidRPr="00C868A3" w:rsidRDefault="00FF47B0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12</w:t>
            </w:r>
            <w:r w:rsidR="00A6580F">
              <w:rPr>
                <w:rFonts w:eastAsia="Times New Roman" w:cs="Times New Roman"/>
                <w:color w:val="000000"/>
                <w:szCs w:val="24"/>
                <w:lang w:eastAsia="pt-BR"/>
              </w:rPr>
              <w:t>,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91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3BA67" w14:textId="69D3E362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6,84</w:t>
            </w:r>
          </w:p>
        </w:tc>
      </w:tr>
      <w:tr w:rsidR="00A6580F" w:rsidRPr="00C868A3" w14:paraId="1617F0EB" w14:textId="5812ABAD" w:rsidTr="00C94F07">
        <w:trPr>
          <w:trHeight w:val="259"/>
        </w:trPr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595A1" w14:textId="167DEEB5" w:rsidR="00A6580F" w:rsidRPr="00C868A3" w:rsidRDefault="00A6580F" w:rsidP="00A6580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lastRenderedPageBreak/>
              <w:t>Bombas de recalque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trifásica</w:t>
            </w: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(1 x 6.420W) - Sistema de incêndio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10FD" w14:textId="77777777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8909" w14:textId="03F9B125" w:rsidR="00A6580F" w:rsidRPr="00C868A3" w:rsidRDefault="00FF47B0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11</w:t>
            </w:r>
            <w:r w:rsidR="00A6580F"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,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0F6C5" w14:textId="05795093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10,19</w:t>
            </w:r>
          </w:p>
        </w:tc>
      </w:tr>
      <w:tr w:rsidR="00A6580F" w:rsidRPr="00C868A3" w14:paraId="03E85E23" w14:textId="4017C520" w:rsidTr="00FF47B0">
        <w:trPr>
          <w:trHeight w:val="259"/>
        </w:trPr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22843" w14:textId="5BBAAF51" w:rsidR="00A6580F" w:rsidRPr="00C868A3" w:rsidRDefault="00A6580F" w:rsidP="00A6580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Bomba à </w:t>
            </w:r>
            <w:proofErr w:type="gramStart"/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diesel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monofásica</w:t>
            </w:r>
            <w:proofErr w:type="gramEnd"/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(1 x 1490 W) - Sistema de incêndio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515B" w14:textId="77777777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E0AF" w14:textId="3BEF05B4" w:rsidR="00A6580F" w:rsidRPr="00C868A3" w:rsidRDefault="00FF47B0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3</w:t>
            </w:r>
            <w:r w:rsidR="00A6580F"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,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22321" w14:textId="1A9D9654" w:rsidR="00A6580F" w:rsidRPr="00C868A3" w:rsidRDefault="00A6580F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C868A3">
              <w:rPr>
                <w:rFonts w:eastAsia="Times New Roman" w:cs="Times New Roman"/>
                <w:color w:val="000000"/>
                <w:szCs w:val="24"/>
                <w:lang w:eastAsia="pt-BR"/>
              </w:rPr>
              <w:t>1,</w:t>
            </w: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86</w:t>
            </w:r>
          </w:p>
        </w:tc>
      </w:tr>
      <w:tr w:rsidR="00FF47B0" w:rsidRPr="00C868A3" w14:paraId="2ED8AE17" w14:textId="77777777" w:rsidTr="00FF47B0">
        <w:trPr>
          <w:trHeight w:val="259"/>
        </w:trPr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A8DBC" w14:textId="69DCC60A" w:rsidR="00FF47B0" w:rsidRPr="00C868A3" w:rsidRDefault="004D2DB4" w:rsidP="00A6580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4D2DB4">
              <w:rPr>
                <w:rFonts w:eastAsia="Times New Roman" w:cs="Times New Roman"/>
                <w:color w:val="000000"/>
                <w:szCs w:val="24"/>
                <w:lang w:eastAsia="pt-BR"/>
              </w:rPr>
              <w:t>Plataforma com motor (1 x 2.760 W) - Elevador da edificação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C6C9D" w14:textId="08EF31D4" w:rsidR="00FF47B0" w:rsidRPr="00C868A3" w:rsidRDefault="00FF47B0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FC509" w14:textId="0F85D093" w:rsidR="00FF47B0" w:rsidRDefault="004D2DB4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4,21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6C9CE" w14:textId="00DBB7A4" w:rsidR="00FF47B0" w:rsidRPr="00C868A3" w:rsidRDefault="004D2DB4" w:rsidP="00A658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pt-BR"/>
              </w:rPr>
              <w:t>3,37</w:t>
            </w:r>
          </w:p>
        </w:tc>
      </w:tr>
    </w:tbl>
    <w:p w14:paraId="2CC805FF" w14:textId="23D6E8EE" w:rsidR="00E50CD7" w:rsidRDefault="00E50CD7" w:rsidP="00E50CD7"/>
    <w:p w14:paraId="5AC3D591" w14:textId="1FD23022" w:rsidR="00FF47B0" w:rsidRPr="00FF47B0" w:rsidRDefault="00FF47B0" w:rsidP="00FF47B0">
      <w:pPr>
        <w:pStyle w:val="Legenda"/>
        <w:keepNext/>
        <w:spacing w:after="0"/>
        <w:ind w:firstLine="0"/>
        <w:rPr>
          <w:i w:val="0"/>
          <w:iCs w:val="0"/>
          <w:color w:val="auto"/>
          <w:sz w:val="20"/>
          <w:szCs w:val="20"/>
        </w:rPr>
      </w:pPr>
      <w:r w:rsidRPr="00FF47B0">
        <w:rPr>
          <w:i w:val="0"/>
          <w:iCs w:val="0"/>
          <w:color w:val="auto"/>
          <w:sz w:val="20"/>
          <w:szCs w:val="20"/>
        </w:rPr>
        <w:t xml:space="preserve">Tabela </w:t>
      </w:r>
      <w:r w:rsidRPr="00FF47B0">
        <w:rPr>
          <w:i w:val="0"/>
          <w:iCs w:val="0"/>
          <w:color w:val="auto"/>
          <w:sz w:val="20"/>
          <w:szCs w:val="20"/>
        </w:rPr>
        <w:fldChar w:fldCharType="begin"/>
      </w:r>
      <w:r w:rsidRPr="00FF47B0">
        <w:rPr>
          <w:i w:val="0"/>
          <w:iCs w:val="0"/>
          <w:color w:val="auto"/>
          <w:sz w:val="20"/>
          <w:szCs w:val="20"/>
        </w:rPr>
        <w:instrText xml:space="preserve"> SEQ Tabela \* ARABIC </w:instrText>
      </w:r>
      <w:r w:rsidRPr="00FF47B0">
        <w:rPr>
          <w:i w:val="0"/>
          <w:iCs w:val="0"/>
          <w:color w:val="auto"/>
          <w:sz w:val="20"/>
          <w:szCs w:val="20"/>
        </w:rPr>
        <w:fldChar w:fldCharType="separate"/>
      </w:r>
      <w:r w:rsidRPr="00FF47B0">
        <w:rPr>
          <w:i w:val="0"/>
          <w:iCs w:val="0"/>
          <w:noProof/>
          <w:color w:val="auto"/>
          <w:sz w:val="20"/>
          <w:szCs w:val="20"/>
        </w:rPr>
        <w:t>1</w:t>
      </w:r>
      <w:r w:rsidRPr="00FF47B0">
        <w:rPr>
          <w:i w:val="0"/>
          <w:iCs w:val="0"/>
          <w:color w:val="auto"/>
          <w:sz w:val="20"/>
          <w:szCs w:val="20"/>
        </w:rPr>
        <w:fldChar w:fldCharType="end"/>
      </w:r>
      <w:r w:rsidRPr="00FF47B0">
        <w:rPr>
          <w:i w:val="0"/>
          <w:iCs w:val="0"/>
          <w:color w:val="auto"/>
          <w:sz w:val="20"/>
          <w:szCs w:val="20"/>
        </w:rPr>
        <w:t xml:space="preserve"> </w:t>
      </w:r>
      <w:r>
        <w:rPr>
          <w:i w:val="0"/>
          <w:iCs w:val="0"/>
          <w:color w:val="auto"/>
          <w:sz w:val="20"/>
          <w:szCs w:val="20"/>
        </w:rPr>
        <w:t>–</w:t>
      </w:r>
      <w:r w:rsidRPr="00FF47B0">
        <w:rPr>
          <w:i w:val="0"/>
          <w:iCs w:val="0"/>
          <w:color w:val="auto"/>
          <w:sz w:val="20"/>
          <w:szCs w:val="20"/>
        </w:rPr>
        <w:t xml:space="preserve"> </w:t>
      </w:r>
      <w:r>
        <w:rPr>
          <w:i w:val="0"/>
          <w:iCs w:val="0"/>
          <w:color w:val="auto"/>
          <w:sz w:val="20"/>
          <w:szCs w:val="20"/>
        </w:rPr>
        <w:t>resumo da demanda prevista calculada da edificação</w:t>
      </w:r>
    </w:p>
    <w:p w14:paraId="1FD5453E" w14:textId="54A1E53A" w:rsidR="00F55D39" w:rsidRPr="00F55D39" w:rsidRDefault="004D2DB4" w:rsidP="00FF47B0">
      <w:pPr>
        <w:spacing w:line="240" w:lineRule="auto"/>
        <w:ind w:firstLine="0"/>
      </w:pPr>
      <w:r w:rsidRPr="004D2DB4">
        <w:rPr>
          <w:noProof/>
        </w:rPr>
        <w:drawing>
          <wp:inline distT="0" distB="0" distL="0" distR="0" wp14:anchorId="5050856F" wp14:editId="431ABCEA">
            <wp:extent cx="5400040" cy="6524625"/>
            <wp:effectExtent l="0" t="0" r="0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8438B" w14:textId="12C038BC" w:rsidR="00530CAE" w:rsidRDefault="00530CAE" w:rsidP="0033422C">
      <w:pPr>
        <w:pStyle w:val="Ttulo3"/>
      </w:pPr>
      <w:bookmarkStart w:id="12" w:name="_Toc66710198"/>
      <w:r>
        <w:lastRenderedPageBreak/>
        <w:t>Determinação do cronograma de provável de utilização da demanda.</w:t>
      </w:r>
      <w:bookmarkEnd w:id="12"/>
    </w:p>
    <w:p w14:paraId="734D3F56" w14:textId="4BBC7229" w:rsidR="0018031A" w:rsidRPr="0018031A" w:rsidRDefault="0018031A" w:rsidP="0018031A">
      <w:r>
        <w:t xml:space="preserve">Na figura 02 abaixo é mostrado a um gráfico que representa a utilização provável da demanda contratada à edificação, na tarifa </w:t>
      </w:r>
      <w:proofErr w:type="spellStart"/>
      <w:r>
        <w:t>horosazonal</w:t>
      </w:r>
      <w:proofErr w:type="spellEnd"/>
      <w:r>
        <w:t xml:space="preserve"> verde, para os próximos 05 cincos anos. Estima-se que a edificação terá sua demanda em torno 300 kW durante este período.</w:t>
      </w:r>
    </w:p>
    <w:p w14:paraId="4EC9DC5E" w14:textId="77777777" w:rsidR="0018031A" w:rsidRDefault="0018031A" w:rsidP="0018031A">
      <w:pPr>
        <w:keepNext/>
        <w:ind w:firstLine="0"/>
      </w:pPr>
      <w:r>
        <w:rPr>
          <w:noProof/>
        </w:rPr>
        <w:drawing>
          <wp:inline distT="0" distB="0" distL="0" distR="0" wp14:anchorId="30E1A99C" wp14:editId="1260483E">
            <wp:extent cx="5580882" cy="2867025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22" cy="287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3072D5" w14:textId="1184961C" w:rsidR="00530CAE" w:rsidRPr="0018031A" w:rsidRDefault="0018031A" w:rsidP="0018031A">
      <w:pPr>
        <w:pStyle w:val="Legenda"/>
        <w:rPr>
          <w:rFonts w:cs="Times New Roman"/>
          <w:i w:val="0"/>
          <w:iCs w:val="0"/>
          <w:color w:val="auto"/>
          <w:sz w:val="20"/>
          <w:szCs w:val="20"/>
        </w:rPr>
      </w:pPr>
      <w:r w:rsidRPr="0018031A">
        <w:rPr>
          <w:rFonts w:cs="Times New Roman"/>
          <w:i w:val="0"/>
          <w:iCs w:val="0"/>
          <w:color w:val="auto"/>
          <w:sz w:val="20"/>
          <w:szCs w:val="20"/>
        </w:rPr>
        <w:t xml:space="preserve">Figura </w:t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fldChar w:fldCharType="begin"/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instrText xml:space="preserve"> SEQ Figura \* ARABIC </w:instrText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fldChar w:fldCharType="separate"/>
      </w:r>
      <w:r w:rsidRPr="0018031A">
        <w:rPr>
          <w:rFonts w:cs="Times New Roman"/>
          <w:i w:val="0"/>
          <w:iCs w:val="0"/>
          <w:noProof/>
          <w:color w:val="auto"/>
          <w:sz w:val="20"/>
          <w:szCs w:val="20"/>
        </w:rPr>
        <w:t>2</w:t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fldChar w:fldCharType="end"/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t xml:space="preserve"> - Gr</w:t>
      </w:r>
      <w:r>
        <w:rPr>
          <w:rFonts w:cs="Times New Roman"/>
          <w:i w:val="0"/>
          <w:iCs w:val="0"/>
          <w:color w:val="auto"/>
          <w:sz w:val="20"/>
          <w:szCs w:val="20"/>
        </w:rPr>
        <w:t>á</w:t>
      </w:r>
      <w:r w:rsidRPr="0018031A">
        <w:rPr>
          <w:rFonts w:cs="Times New Roman"/>
          <w:i w:val="0"/>
          <w:iCs w:val="0"/>
          <w:color w:val="auto"/>
          <w:sz w:val="20"/>
          <w:szCs w:val="20"/>
        </w:rPr>
        <w:t>fico da utilização da demanda contratada em kW</w:t>
      </w:r>
    </w:p>
    <w:p w14:paraId="7C3A39B5" w14:textId="1E02D5FE" w:rsidR="0033422C" w:rsidRDefault="00E44BE9" w:rsidP="0018031A">
      <w:pPr>
        <w:pStyle w:val="Ttulo2"/>
      </w:pPr>
      <w:bookmarkStart w:id="13" w:name="_Toc66710199"/>
      <w:r>
        <w:t>Determinação do condutor</w:t>
      </w:r>
      <w:r w:rsidR="0033422C">
        <w:t xml:space="preserve"> de descida até o quadro de medição.</w:t>
      </w:r>
      <w:bookmarkEnd w:id="13"/>
    </w:p>
    <w:p w14:paraId="7FF7ACCF" w14:textId="7ABF5189" w:rsidR="00E44BE9" w:rsidRPr="00757117" w:rsidRDefault="00E44BE9" w:rsidP="00327699">
      <w:pPr>
        <w:ind w:firstLine="567"/>
        <w:rPr>
          <w:lang w:val="en-US"/>
        </w:rPr>
      </w:pPr>
      <w:r w:rsidRPr="00757117">
        <w:rPr>
          <w:lang w:val="en-US"/>
        </w:rPr>
        <w:t xml:space="preserve">In = </w:t>
      </w:r>
      <w:proofErr w:type="spellStart"/>
      <w:r w:rsidRPr="00757117">
        <w:rPr>
          <w:lang w:val="en-US"/>
        </w:rPr>
        <w:t>Dn</w:t>
      </w:r>
      <w:proofErr w:type="spellEnd"/>
      <w:r w:rsidRPr="00757117">
        <w:rPr>
          <w:lang w:val="en-US"/>
        </w:rPr>
        <w:t xml:space="preserve"> (W) / </w:t>
      </w:r>
      <m:oMath>
        <m:r>
          <w:rPr>
            <w:rFonts w:ascii="Cambria Math" w:hAnsi="Cambria Math"/>
            <w:lang w:val="en-US"/>
          </w:rPr>
          <m:t>√3</m:t>
        </m:r>
      </m:oMath>
      <w:r w:rsidRPr="00757117">
        <w:rPr>
          <w:lang w:val="en-US"/>
        </w:rPr>
        <w:t xml:space="preserve"> x Vn x </w:t>
      </w:r>
      <w:proofErr w:type="gramStart"/>
      <w:r w:rsidRPr="00757117">
        <w:rPr>
          <w:lang w:val="en-US"/>
        </w:rPr>
        <w:t>fp;</w:t>
      </w:r>
      <w:proofErr w:type="gramEnd"/>
    </w:p>
    <w:p w14:paraId="45355FBA" w14:textId="1E388E7F" w:rsidR="00E44BE9" w:rsidRDefault="00E44BE9" w:rsidP="00327699">
      <w:pPr>
        <w:ind w:firstLine="567"/>
      </w:pPr>
      <w:r w:rsidRPr="006E258B">
        <w:t xml:space="preserve">In = </w:t>
      </w:r>
      <w:r w:rsidR="006E258B" w:rsidRPr="006E258B">
        <w:t>30</w:t>
      </w:r>
      <w:r w:rsidR="004D2DB4">
        <w:t>4</w:t>
      </w:r>
      <w:r w:rsidRPr="006E258B">
        <w:t>.</w:t>
      </w:r>
      <w:r w:rsidR="004D2DB4">
        <w:t>250</w:t>
      </w:r>
      <w:r w:rsidRPr="006E258B">
        <w:t xml:space="preserve"> / </w:t>
      </w:r>
      <m:oMath>
        <m:r>
          <w:rPr>
            <w:rFonts w:ascii="Cambria Math" w:hAnsi="Cambria Math"/>
          </w:rPr>
          <m:t>√3</m:t>
        </m:r>
      </m:oMath>
      <w:r w:rsidRPr="006E258B">
        <w:t xml:space="preserve"> x 380 V x 0</w:t>
      </w:r>
      <w:r w:rsidR="0013451B" w:rsidRPr="006E258B">
        <w:t>,</w:t>
      </w:r>
      <w:r w:rsidR="00EC29E9" w:rsidRPr="006E258B">
        <w:t>92</w:t>
      </w:r>
      <w:r w:rsidRPr="006E258B">
        <w:t>;</w:t>
      </w:r>
    </w:p>
    <w:p w14:paraId="716A57E0" w14:textId="28EEA7F2" w:rsidR="00E44BE9" w:rsidRDefault="00E44BE9" w:rsidP="00327699">
      <w:pPr>
        <w:ind w:firstLine="567"/>
      </w:pPr>
      <w:r w:rsidRPr="006E258B">
        <w:t xml:space="preserve">In = </w:t>
      </w:r>
      <w:r w:rsidR="006E258B" w:rsidRPr="006E258B">
        <w:t>50</w:t>
      </w:r>
      <w:r w:rsidR="004D2DB4">
        <w:t>3</w:t>
      </w:r>
      <w:r w:rsidR="00267CAF" w:rsidRPr="006E258B">
        <w:t>,</w:t>
      </w:r>
      <w:r w:rsidR="004D2DB4">
        <w:t>00</w:t>
      </w:r>
      <w:r w:rsidRPr="006E258B">
        <w:t xml:space="preserve"> A.</w:t>
      </w:r>
    </w:p>
    <w:p w14:paraId="51374D3A" w14:textId="77777777" w:rsidR="00E44BE9" w:rsidRPr="00327699" w:rsidRDefault="00E44BE9" w:rsidP="00327699">
      <w:pPr>
        <w:ind w:firstLine="567"/>
        <w:rPr>
          <w:rFonts w:cs="Arial"/>
        </w:rPr>
      </w:pPr>
      <w:r w:rsidRPr="00327699">
        <w:rPr>
          <w:rFonts w:cs="Arial"/>
        </w:rPr>
        <w:t>No entanto prevendo um aumento de 15% na demanda num horizonte de 05 anos será considerado, portanto, uma corrente nominal de:</w:t>
      </w:r>
    </w:p>
    <w:p w14:paraId="53EBBF09" w14:textId="77777777" w:rsidR="00E44BE9" w:rsidRPr="00757117" w:rsidRDefault="00E44BE9" w:rsidP="00327699">
      <w:pPr>
        <w:ind w:firstLine="567"/>
        <w:rPr>
          <w:lang w:val="en-US"/>
        </w:rPr>
      </w:pPr>
      <w:r w:rsidRPr="00757117">
        <w:rPr>
          <w:lang w:val="en-US"/>
        </w:rPr>
        <w:t xml:space="preserve">In’ = 1,15 x </w:t>
      </w:r>
      <w:proofErr w:type="gramStart"/>
      <w:r w:rsidRPr="00757117">
        <w:rPr>
          <w:lang w:val="en-US"/>
        </w:rPr>
        <w:t>In</w:t>
      </w:r>
      <w:proofErr w:type="gramEnd"/>
      <w:r w:rsidRPr="00757117">
        <w:rPr>
          <w:lang w:val="en-US"/>
        </w:rPr>
        <w:t xml:space="preserve"> = </w:t>
      </w:r>
    </w:p>
    <w:p w14:paraId="51A37930" w14:textId="4C158AE9" w:rsidR="00E44BE9" w:rsidRDefault="00E44BE9" w:rsidP="00B332E5">
      <w:pPr>
        <w:ind w:firstLine="567"/>
        <w:rPr>
          <w:lang w:val="en-US"/>
        </w:rPr>
      </w:pPr>
      <w:r w:rsidRPr="006E258B">
        <w:rPr>
          <w:lang w:val="en-US"/>
        </w:rPr>
        <w:t xml:space="preserve">In’ = 1,15 x </w:t>
      </w:r>
      <w:r w:rsidR="006E258B" w:rsidRPr="006E258B">
        <w:rPr>
          <w:lang w:val="en-US"/>
        </w:rPr>
        <w:t>50</w:t>
      </w:r>
      <w:r w:rsidR="004D2DB4">
        <w:rPr>
          <w:lang w:val="en-US"/>
        </w:rPr>
        <w:t>3</w:t>
      </w:r>
      <w:r w:rsidR="00F75B31" w:rsidRPr="006E258B">
        <w:rPr>
          <w:lang w:val="en-US"/>
        </w:rPr>
        <w:t>.</w:t>
      </w:r>
      <w:r w:rsidR="004D2DB4">
        <w:rPr>
          <w:lang w:val="en-US"/>
        </w:rPr>
        <w:t>00</w:t>
      </w:r>
      <w:r w:rsidRPr="006E258B">
        <w:rPr>
          <w:lang w:val="en-US"/>
        </w:rPr>
        <w:t xml:space="preserve"> A</w:t>
      </w:r>
      <w:r w:rsidRPr="00757117">
        <w:rPr>
          <w:lang w:val="en-US"/>
        </w:rPr>
        <w:t xml:space="preserve"> = </w:t>
      </w:r>
      <w:r w:rsidR="006E258B" w:rsidRPr="006E258B">
        <w:rPr>
          <w:lang w:val="en-US"/>
        </w:rPr>
        <w:t>57</w:t>
      </w:r>
      <w:r w:rsidR="004D2DB4">
        <w:rPr>
          <w:lang w:val="en-US"/>
        </w:rPr>
        <w:t>8</w:t>
      </w:r>
      <w:r w:rsidR="004F4F9B" w:rsidRPr="006E258B">
        <w:rPr>
          <w:lang w:val="en-US"/>
        </w:rPr>
        <w:t>,</w:t>
      </w:r>
      <w:r w:rsidR="004D2DB4">
        <w:rPr>
          <w:lang w:val="en-US"/>
        </w:rPr>
        <w:t>45</w:t>
      </w:r>
      <w:r w:rsidRPr="006E258B">
        <w:rPr>
          <w:lang w:val="en-US"/>
        </w:rPr>
        <w:t xml:space="preserve"> A.</w:t>
      </w:r>
    </w:p>
    <w:p w14:paraId="768262F8" w14:textId="22AE750D" w:rsidR="0033422C" w:rsidRDefault="00E44BE9" w:rsidP="00E44BE9">
      <w:pPr>
        <w:ind w:firstLine="567"/>
        <w:rPr>
          <w:rFonts w:cs="Arial"/>
        </w:rPr>
      </w:pPr>
      <w:r>
        <w:rPr>
          <w:rFonts w:cs="Arial"/>
        </w:rPr>
        <w:t xml:space="preserve">Como será utilizado condutor unipolar em eletroduto </w:t>
      </w:r>
      <w:r w:rsidR="0033422C">
        <w:rPr>
          <w:rFonts w:cs="Arial"/>
        </w:rPr>
        <w:t>de seção circular aparente sobre parede ou espaçado desta pelo menos de 0,3 vez o diâmetro do eletroduto o método de ref</w:t>
      </w:r>
      <w:r w:rsidR="00474F78">
        <w:rPr>
          <w:rFonts w:cs="Arial"/>
        </w:rPr>
        <w:t>erên</w:t>
      </w:r>
      <w:r w:rsidR="0033422C">
        <w:rPr>
          <w:rFonts w:cs="Arial"/>
        </w:rPr>
        <w:t xml:space="preserve">cia adotado para determinação do condutor será o </w:t>
      </w:r>
      <w:r w:rsidR="0033422C" w:rsidRPr="0033422C">
        <w:rPr>
          <w:rFonts w:cs="Arial"/>
          <w:b/>
          <w:i/>
        </w:rPr>
        <w:t>B1</w:t>
      </w:r>
      <w:r w:rsidR="0033422C">
        <w:rPr>
          <w:rFonts w:cs="Arial"/>
        </w:rPr>
        <w:t>.</w:t>
      </w:r>
      <w:r w:rsidR="00474F78">
        <w:rPr>
          <w:rFonts w:cs="Arial"/>
        </w:rPr>
        <w:t xml:space="preserve"> </w:t>
      </w:r>
      <w:r w:rsidR="0033422C">
        <w:rPr>
          <w:rFonts w:cs="Arial"/>
        </w:rPr>
        <w:t>Portanto</w:t>
      </w:r>
      <w:r>
        <w:rPr>
          <w:rFonts w:cs="Arial"/>
        </w:rPr>
        <w:t xml:space="preserve"> o</w:t>
      </w:r>
      <w:r w:rsidRPr="00B8756E">
        <w:rPr>
          <w:rFonts w:cs="Arial"/>
        </w:rPr>
        <w:t>s condutores</w:t>
      </w:r>
      <w:r>
        <w:rPr>
          <w:rFonts w:cs="Arial"/>
        </w:rPr>
        <w:t xml:space="preserve"> adotados</w:t>
      </w:r>
      <w:r w:rsidRPr="00B8756E">
        <w:rPr>
          <w:rFonts w:cs="Arial"/>
        </w:rPr>
        <w:t xml:space="preserve"> de Baixa Tensão que compõem o </w:t>
      </w:r>
      <w:r w:rsidR="0033422C">
        <w:rPr>
          <w:rFonts w:cs="Arial"/>
        </w:rPr>
        <w:t>r</w:t>
      </w:r>
      <w:r w:rsidRPr="00B8756E">
        <w:rPr>
          <w:rFonts w:cs="Arial"/>
        </w:rPr>
        <w:t xml:space="preserve">amal de </w:t>
      </w:r>
      <w:r w:rsidR="0033422C">
        <w:rPr>
          <w:rFonts w:cs="Arial"/>
        </w:rPr>
        <w:t>e</w:t>
      </w:r>
      <w:r w:rsidRPr="00B8756E">
        <w:rPr>
          <w:rFonts w:cs="Arial"/>
        </w:rPr>
        <w:t xml:space="preserve">ntrada, fazendo a interligação do secundário do transformador ao Quadro Medição, serão constituídos por cabos singelos </w:t>
      </w:r>
      <w:r w:rsidRPr="00B8756E">
        <w:rPr>
          <w:rFonts w:cs="Arial"/>
        </w:rPr>
        <w:lastRenderedPageBreak/>
        <w:t xml:space="preserve">de cobre, </w:t>
      </w:r>
      <w:r w:rsidRPr="00B8756E">
        <w:rPr>
          <w:rFonts w:cs="Arial"/>
          <w:b/>
          <w:i/>
        </w:rPr>
        <w:t xml:space="preserve">isolação EPR - 90°- 0,6/1kV, seção nominal </w:t>
      </w:r>
      <w:r w:rsidRPr="00802F24">
        <w:rPr>
          <w:rFonts w:cs="Arial"/>
          <w:b/>
          <w:i/>
        </w:rPr>
        <w:t xml:space="preserve">de </w:t>
      </w:r>
      <w:r w:rsidR="000A6F65">
        <w:rPr>
          <w:rFonts w:cs="Arial"/>
          <w:b/>
          <w:i/>
        </w:rPr>
        <w:t>3</w:t>
      </w:r>
      <w:r w:rsidR="00FE2355" w:rsidRPr="00802F24">
        <w:rPr>
          <w:rFonts w:cs="Arial"/>
          <w:b/>
          <w:i/>
        </w:rPr>
        <w:t xml:space="preserve"> x [3#</w:t>
      </w:r>
      <w:r w:rsidR="000A6F65">
        <w:rPr>
          <w:rFonts w:cs="Arial"/>
          <w:b/>
          <w:i/>
        </w:rPr>
        <w:t>240</w:t>
      </w:r>
      <w:r w:rsidR="00FE2355" w:rsidRPr="00802F24">
        <w:rPr>
          <w:rFonts w:cs="Arial"/>
          <w:b/>
          <w:i/>
        </w:rPr>
        <w:t>(</w:t>
      </w:r>
      <w:r w:rsidR="000A6F65">
        <w:rPr>
          <w:rFonts w:cs="Arial"/>
          <w:b/>
          <w:i/>
        </w:rPr>
        <w:t>240</w:t>
      </w:r>
      <w:r w:rsidR="00FE2355" w:rsidRPr="00802F24">
        <w:rPr>
          <w:rFonts w:cs="Arial"/>
          <w:b/>
          <w:i/>
        </w:rPr>
        <w:t>) mm² + #T185 mm²</w:t>
      </w:r>
      <w:r w:rsidR="0033422C" w:rsidRPr="00B8756E">
        <w:rPr>
          <w:rFonts w:cs="Arial"/>
        </w:rPr>
        <w:t>e</w:t>
      </w:r>
      <w:r w:rsidR="0033422C">
        <w:rPr>
          <w:rFonts w:cs="Arial"/>
        </w:rPr>
        <w:t xml:space="preserve">ncordoamento classe </w:t>
      </w:r>
      <w:r w:rsidR="00FA1E7D">
        <w:rPr>
          <w:rFonts w:cs="Arial"/>
        </w:rPr>
        <w:t>5</w:t>
      </w:r>
    </w:p>
    <w:p w14:paraId="24A23163" w14:textId="77777777" w:rsidR="00355F5D" w:rsidRDefault="00355F5D" w:rsidP="0018031A">
      <w:pPr>
        <w:pStyle w:val="Ttulo2"/>
      </w:pPr>
      <w:bookmarkStart w:id="14" w:name="_Toc66710200"/>
      <w:r>
        <w:t>Determinação dos elementos de proteção em baixa tensão.</w:t>
      </w:r>
      <w:bookmarkEnd w:id="14"/>
    </w:p>
    <w:p w14:paraId="74FF467A" w14:textId="17F3E125" w:rsidR="005F6480" w:rsidRDefault="005F6480" w:rsidP="005F6480">
      <w:pPr>
        <w:ind w:firstLine="567"/>
        <w:rPr>
          <w:rFonts w:cs="Arial"/>
        </w:rPr>
      </w:pPr>
      <w:r w:rsidRPr="005F6480">
        <w:rPr>
          <w:rFonts w:cs="Arial"/>
        </w:rPr>
        <w:t>A proteção contra sobrecorrente no lado de baixa tensão deve ser feita atrav</w:t>
      </w:r>
      <w:r>
        <w:rPr>
          <w:rFonts w:cs="Arial"/>
        </w:rPr>
        <w:t xml:space="preserve">és de disjuntor termomagnético com ajuste fixo de </w:t>
      </w:r>
      <w:r w:rsidR="00882201">
        <w:rPr>
          <w:rFonts w:cs="Arial"/>
          <w:b/>
          <w:i/>
        </w:rPr>
        <w:t>63</w:t>
      </w:r>
      <w:r w:rsidR="00B957E1" w:rsidRPr="0007542C">
        <w:rPr>
          <w:rFonts w:cs="Arial"/>
          <w:b/>
          <w:i/>
        </w:rPr>
        <w:t>0</w:t>
      </w:r>
      <w:r w:rsidRPr="0007542C">
        <w:rPr>
          <w:rFonts w:cs="Arial"/>
          <w:b/>
          <w:i/>
        </w:rPr>
        <w:t>A/380V</w:t>
      </w:r>
      <w:r w:rsidR="000D7571" w:rsidRPr="0007542C">
        <w:rPr>
          <w:rFonts w:cs="Arial"/>
          <w:b/>
          <w:i/>
        </w:rPr>
        <w:t>/</w:t>
      </w:r>
      <w:r w:rsidR="000A6F65">
        <w:rPr>
          <w:rFonts w:cs="Arial"/>
          <w:b/>
          <w:i/>
        </w:rPr>
        <w:t>4</w:t>
      </w:r>
      <w:r w:rsidR="000F786A" w:rsidRPr="0007542C">
        <w:rPr>
          <w:rFonts w:cs="Arial"/>
          <w:b/>
          <w:i/>
        </w:rPr>
        <w:t>5</w:t>
      </w:r>
      <w:r w:rsidRPr="0007542C">
        <w:rPr>
          <w:rFonts w:cs="Arial"/>
          <w:b/>
          <w:i/>
        </w:rPr>
        <w:t>kA</w:t>
      </w:r>
      <w:r w:rsidRPr="005F6480">
        <w:rPr>
          <w:rFonts w:cs="Arial"/>
        </w:rPr>
        <w:t xml:space="preserve"> tendo sua capacidade de corrente limitada a capacidade de corrente do cabo, instalado em caix</w:t>
      </w:r>
      <w:r>
        <w:rPr>
          <w:rFonts w:cs="Arial"/>
        </w:rPr>
        <w:t xml:space="preserve">a moldada e </w:t>
      </w:r>
      <w:r w:rsidRPr="005F6480">
        <w:rPr>
          <w:rFonts w:cs="Arial"/>
        </w:rPr>
        <w:t xml:space="preserve">na saída </w:t>
      </w:r>
      <w:r>
        <w:rPr>
          <w:rFonts w:cs="Arial"/>
        </w:rPr>
        <w:t>do transformador.</w:t>
      </w:r>
    </w:p>
    <w:p w14:paraId="5CC19400" w14:textId="228C5897" w:rsidR="006D5CB0" w:rsidRDefault="005F6480" w:rsidP="006D5CB0">
      <w:pPr>
        <w:ind w:firstLine="567"/>
        <w:rPr>
          <w:rFonts w:cs="Arial"/>
        </w:rPr>
      </w:pPr>
      <w:r>
        <w:rPr>
          <w:rFonts w:cs="Arial"/>
        </w:rPr>
        <w:t>Na existência de motores e/ou</w:t>
      </w:r>
      <w:r w:rsidRPr="005F6480">
        <w:rPr>
          <w:rFonts w:cs="Arial"/>
        </w:rPr>
        <w:t xml:space="preserve"> cargas especiais que necessitem de proteção </w:t>
      </w:r>
      <w:proofErr w:type="spellStart"/>
      <w:r w:rsidR="00BA6926" w:rsidRPr="005F6480">
        <w:rPr>
          <w:rFonts w:cs="Arial"/>
        </w:rPr>
        <w:t>especifi</w:t>
      </w:r>
      <w:r w:rsidR="00D46F30">
        <w:rPr>
          <w:rFonts w:cs="Arial"/>
        </w:rPr>
        <w:t>ç</w:t>
      </w:r>
      <w:r w:rsidR="00802F24">
        <w:rPr>
          <w:rFonts w:cs="Arial"/>
        </w:rPr>
        <w:t>ã</w:t>
      </w:r>
      <w:r w:rsidR="00BA6926">
        <w:rPr>
          <w:rFonts w:cs="Arial"/>
        </w:rPr>
        <w:t>o</w:t>
      </w:r>
      <w:proofErr w:type="spellEnd"/>
      <w:r w:rsidRPr="005F6480">
        <w:rPr>
          <w:rFonts w:cs="Arial"/>
        </w:rPr>
        <w:t xml:space="preserve"> contra </w:t>
      </w:r>
      <w:r w:rsidR="00953C68" w:rsidRPr="005F6480">
        <w:rPr>
          <w:rFonts w:cs="Arial"/>
        </w:rPr>
        <w:t>subtenso</w:t>
      </w:r>
      <w:r>
        <w:rPr>
          <w:rFonts w:cs="Arial"/>
        </w:rPr>
        <w:t xml:space="preserve"> e/ou falta de </w:t>
      </w:r>
      <w:r w:rsidRPr="005F6480">
        <w:rPr>
          <w:rFonts w:cs="Arial"/>
        </w:rPr>
        <w:t xml:space="preserve">fase, </w:t>
      </w:r>
      <w:r w:rsidR="00682552">
        <w:rPr>
          <w:rFonts w:cs="Arial"/>
        </w:rPr>
        <w:t>deverão ser</w:t>
      </w:r>
      <w:r w:rsidRPr="005F6480">
        <w:rPr>
          <w:rFonts w:cs="Arial"/>
        </w:rPr>
        <w:t xml:space="preserve"> instalados relés de </w:t>
      </w:r>
      <w:proofErr w:type="spellStart"/>
      <w:r w:rsidRPr="005F6480">
        <w:rPr>
          <w:rFonts w:cs="Arial"/>
        </w:rPr>
        <w:t>subtensão</w:t>
      </w:r>
      <w:proofErr w:type="spellEnd"/>
      <w:r w:rsidRPr="005F6480">
        <w:rPr>
          <w:rFonts w:cs="Arial"/>
        </w:rPr>
        <w:t xml:space="preserve">/falta de fase </w:t>
      </w:r>
      <w:r w:rsidR="009C762D" w:rsidRPr="005F6480">
        <w:rPr>
          <w:rFonts w:cs="Arial"/>
        </w:rPr>
        <w:t>nos circuitos próximos</w:t>
      </w:r>
      <w:r w:rsidRPr="005F6480">
        <w:rPr>
          <w:rFonts w:cs="Arial"/>
        </w:rPr>
        <w:t xml:space="preserve"> as cargas </w:t>
      </w:r>
      <w:r>
        <w:rPr>
          <w:rFonts w:cs="Arial"/>
        </w:rPr>
        <w:t>que efetivamente exijam</w:t>
      </w:r>
      <w:r w:rsidRPr="005F6480">
        <w:rPr>
          <w:rFonts w:cs="Arial"/>
        </w:rPr>
        <w:t xml:space="preserve"> </w:t>
      </w:r>
      <w:r>
        <w:rPr>
          <w:rFonts w:cs="Arial"/>
        </w:rPr>
        <w:t>deste</w:t>
      </w:r>
      <w:r w:rsidRPr="005F6480">
        <w:rPr>
          <w:rFonts w:cs="Arial"/>
        </w:rPr>
        <w:t xml:space="preserve"> tipo de proteção.</w:t>
      </w:r>
      <w:r w:rsidR="00455FF9">
        <w:rPr>
          <w:rFonts w:cs="Arial"/>
        </w:rPr>
        <w:t xml:space="preserve"> </w:t>
      </w:r>
      <w:r w:rsidR="00455FF9" w:rsidRPr="00455FF9">
        <w:rPr>
          <w:rFonts w:cs="Arial"/>
          <w:b/>
          <w:bCs/>
          <w:i/>
          <w:iCs/>
        </w:rPr>
        <w:t>Neste caso em específico, conforme recomenda o item 4.30, não existem nesta instalação cargas especiais que venham caracterizar um motivador para perturbações na rede de distribuição da concessionária de energia.</w:t>
      </w:r>
    </w:p>
    <w:p w14:paraId="162F8CEC" w14:textId="43FFA7ED" w:rsidR="000C066A" w:rsidRPr="009C3BEA" w:rsidRDefault="000C066A" w:rsidP="004547DD">
      <w:pPr>
        <w:pStyle w:val="Ttulo1"/>
      </w:pPr>
      <w:bookmarkStart w:id="15" w:name="_Toc66710201"/>
      <w:r w:rsidRPr="009C3BEA">
        <w:t>GERADOR:</w:t>
      </w:r>
      <w:bookmarkEnd w:id="15"/>
    </w:p>
    <w:p w14:paraId="03429FAD" w14:textId="3C5A7DD3" w:rsidR="00D0205E" w:rsidRDefault="00765694" w:rsidP="611664D3">
      <w:pPr>
        <w:ind w:firstLine="567"/>
        <w:rPr>
          <w:rFonts w:cs="Arial"/>
        </w:rPr>
      </w:pPr>
      <w:r>
        <w:rPr>
          <w:rFonts w:cs="Arial"/>
        </w:rPr>
        <w:t xml:space="preserve">Como se trata de uma nova instalação e </w:t>
      </w:r>
      <w:r w:rsidR="00000181">
        <w:rPr>
          <w:rFonts w:cs="Arial"/>
        </w:rPr>
        <w:t>como e de costume da instituição</w:t>
      </w:r>
      <w:r w:rsidR="00D43F0F">
        <w:rPr>
          <w:rFonts w:cs="Arial"/>
        </w:rPr>
        <w:t>, conforme orientação do Corpo de Bombe</w:t>
      </w:r>
      <w:r w:rsidR="00644B3B">
        <w:rPr>
          <w:rFonts w:cs="Arial"/>
        </w:rPr>
        <w:t>iros,</w:t>
      </w:r>
      <w:r w:rsidR="00000181">
        <w:rPr>
          <w:rFonts w:cs="Arial"/>
        </w:rPr>
        <w:t xml:space="preserve"> </w:t>
      </w:r>
      <w:r w:rsidR="0035431F">
        <w:rPr>
          <w:rFonts w:cs="Arial"/>
        </w:rPr>
        <w:t>será</w:t>
      </w:r>
      <w:r w:rsidR="00000181">
        <w:rPr>
          <w:rFonts w:cs="Arial"/>
        </w:rPr>
        <w:t xml:space="preserve"> projetado um Grupo Motor Gerador, </w:t>
      </w:r>
      <w:r w:rsidR="00D43F0F">
        <w:rPr>
          <w:rFonts w:cs="Arial"/>
        </w:rPr>
        <w:t>para as car</w:t>
      </w:r>
      <w:r w:rsidR="00644B3B">
        <w:rPr>
          <w:rFonts w:cs="Arial"/>
        </w:rPr>
        <w:t>gas intituladas essenciais</w:t>
      </w:r>
      <w:r w:rsidR="00DF72A7">
        <w:rPr>
          <w:rFonts w:cs="Arial"/>
        </w:rPr>
        <w:t xml:space="preserve">. Portanto neste projeto </w:t>
      </w:r>
      <w:r w:rsidR="0035431F">
        <w:rPr>
          <w:rFonts w:cs="Arial"/>
        </w:rPr>
        <w:t>será</w:t>
      </w:r>
      <w:r w:rsidR="00DF72A7">
        <w:rPr>
          <w:rFonts w:cs="Arial"/>
        </w:rPr>
        <w:t xml:space="preserve"> especificado uma GMG com </w:t>
      </w:r>
      <w:r w:rsidR="00455A68">
        <w:rPr>
          <w:rFonts w:cs="Arial"/>
        </w:rPr>
        <w:t>potência</w:t>
      </w:r>
      <w:r w:rsidR="00DF72A7">
        <w:rPr>
          <w:rFonts w:cs="Arial"/>
        </w:rPr>
        <w:t xml:space="preserve"> nominal pro</w:t>
      </w:r>
      <w:r w:rsidR="0071719B">
        <w:rPr>
          <w:rFonts w:cs="Arial"/>
        </w:rPr>
        <w:t xml:space="preserve">jetada de </w:t>
      </w:r>
      <w:r w:rsidR="000A6F65">
        <w:rPr>
          <w:rFonts w:cs="Arial"/>
        </w:rPr>
        <w:t>265</w:t>
      </w:r>
      <w:r w:rsidR="0071719B">
        <w:rPr>
          <w:rFonts w:cs="Arial"/>
        </w:rPr>
        <w:t xml:space="preserve"> kVA, com </w:t>
      </w:r>
      <w:r w:rsidR="00591132">
        <w:rPr>
          <w:rFonts w:cs="Arial"/>
        </w:rPr>
        <w:t xml:space="preserve">intertravamento eletromecânico em tensão secundaria de distribuição </w:t>
      </w:r>
      <w:r w:rsidR="009E2528">
        <w:rPr>
          <w:rFonts w:cs="Arial"/>
        </w:rPr>
        <w:t>(380/220V), detalhamento pode ser visto no diagrama unifilar contido nos desenhos</w:t>
      </w:r>
      <w:r w:rsidR="000A4F73">
        <w:rPr>
          <w:rFonts w:cs="Arial"/>
        </w:rPr>
        <w:t xml:space="preserve"> do projeto.</w:t>
      </w:r>
    </w:p>
    <w:p w14:paraId="562B2B27" w14:textId="77777777" w:rsidR="000C066A" w:rsidRPr="009C3BEA" w:rsidRDefault="000C066A" w:rsidP="004547DD">
      <w:pPr>
        <w:pStyle w:val="Ttulo1"/>
      </w:pPr>
      <w:bookmarkStart w:id="16" w:name="_Toc66710202"/>
      <w:r w:rsidRPr="009C3BEA">
        <w:t>DIVERGÊNCIAS:</w:t>
      </w:r>
      <w:bookmarkEnd w:id="16"/>
      <w:r w:rsidRPr="009C3BEA">
        <w:t xml:space="preserve"> </w:t>
      </w:r>
    </w:p>
    <w:p w14:paraId="695D8BFD" w14:textId="77777777" w:rsidR="000C066A" w:rsidRDefault="000C066A" w:rsidP="00AB07E6">
      <w:pPr>
        <w:ind w:firstLine="567"/>
        <w:rPr>
          <w:rFonts w:cs="Arial"/>
          <w:szCs w:val="24"/>
        </w:rPr>
      </w:pPr>
      <w:r w:rsidRPr="000C066A">
        <w:rPr>
          <w:rFonts w:cs="Arial"/>
          <w:szCs w:val="24"/>
        </w:rPr>
        <w:t>Havendo discrepância de informações entre o projeto apresentado a CE</w:t>
      </w:r>
      <w:r>
        <w:rPr>
          <w:rFonts w:cs="Arial"/>
          <w:szCs w:val="24"/>
        </w:rPr>
        <w:t xml:space="preserve">LPE e a situação encontrada em </w:t>
      </w:r>
      <w:r w:rsidRPr="000C066A">
        <w:rPr>
          <w:rFonts w:cs="Arial"/>
          <w:szCs w:val="24"/>
        </w:rPr>
        <w:t xml:space="preserve">campo durante o processo de inspeção do projeto, o responsável técnico deve </w:t>
      </w:r>
      <w:r w:rsidR="004051CE">
        <w:rPr>
          <w:rFonts w:cs="Arial"/>
          <w:szCs w:val="24"/>
        </w:rPr>
        <w:t>reapresentar o projeto.</w:t>
      </w:r>
    </w:p>
    <w:p w14:paraId="383E6460" w14:textId="77777777" w:rsidR="000C066A" w:rsidRPr="009C3BEA" w:rsidRDefault="000C066A" w:rsidP="004547DD">
      <w:pPr>
        <w:pStyle w:val="Ttulo1"/>
      </w:pPr>
      <w:bookmarkStart w:id="17" w:name="_Toc66710203"/>
      <w:r w:rsidRPr="009C3BEA">
        <w:t>OBEDIÊNCIA AS NORMAS:</w:t>
      </w:r>
      <w:bookmarkEnd w:id="17"/>
      <w:r w:rsidRPr="009C3BEA">
        <w:t xml:space="preserve"> </w:t>
      </w:r>
    </w:p>
    <w:p w14:paraId="15F7310D" w14:textId="77777777" w:rsidR="000C066A" w:rsidRPr="000C066A" w:rsidRDefault="000C066A" w:rsidP="00AB07E6">
      <w:pPr>
        <w:ind w:firstLine="567"/>
        <w:rPr>
          <w:rFonts w:cs="Arial"/>
          <w:szCs w:val="24"/>
        </w:rPr>
      </w:pPr>
      <w:r w:rsidRPr="000C066A">
        <w:rPr>
          <w:rFonts w:cs="Arial"/>
          <w:szCs w:val="24"/>
        </w:rPr>
        <w:t xml:space="preserve">Declaro para os devidos fins que os itens que não foram citados neste memorial descritivo atendem aos requisitos das normas: </w:t>
      </w:r>
    </w:p>
    <w:p w14:paraId="51ED87E5" w14:textId="77777777" w:rsidR="000C066A" w:rsidRPr="00237CE7" w:rsidRDefault="004051CE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lastRenderedPageBreak/>
        <w:t>NOR.DISTRIBU-ENGE-0023</w:t>
      </w:r>
      <w:r w:rsidR="000C066A" w:rsidRPr="00237CE7">
        <w:rPr>
          <w:rFonts w:cs="Arial"/>
          <w:sz w:val="22"/>
        </w:rPr>
        <w:t>- Fornecimento de Energia Elétrica em Tensão Primária de Distribuição Classe 15 KV</w:t>
      </w:r>
      <w:r w:rsidRPr="00237CE7">
        <w:rPr>
          <w:rFonts w:cs="Arial"/>
          <w:sz w:val="22"/>
        </w:rPr>
        <w:t>;</w:t>
      </w:r>
    </w:p>
    <w:p w14:paraId="7B41FB9C" w14:textId="77777777" w:rsidR="00BB789A" w:rsidRPr="00237CE7" w:rsidRDefault="00BB789A" w:rsidP="001723E2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>NOR.DISTRIBU-ENGE-0123- Critérios de para elaboração de projeto de rede de distribuição aérea;</w:t>
      </w:r>
    </w:p>
    <w:p w14:paraId="2AFE99C1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>NBR 13570 – Instalações Elétricas em locais de afluência de público – requisitos específicos</w:t>
      </w:r>
      <w:r w:rsidR="004051CE" w:rsidRPr="00237CE7">
        <w:rPr>
          <w:rFonts w:cs="Arial"/>
          <w:sz w:val="22"/>
        </w:rPr>
        <w:t>;</w:t>
      </w:r>
    </w:p>
    <w:p w14:paraId="45F6E9AD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14039 – Instalações Elétricas de Média Tensão de 1,0 a 36,2 KV; </w:t>
      </w:r>
    </w:p>
    <w:p w14:paraId="27850A93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5410 – Instalações Elétricas de Baixa Tensão; </w:t>
      </w:r>
    </w:p>
    <w:p w14:paraId="5E582B76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5413 – Iluminância de interiores – Procedimento; </w:t>
      </w:r>
    </w:p>
    <w:p w14:paraId="2F7F9BA5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15688 – Rede de Distribuição Urbana e Rural de Energia Elétrica - Padronização; </w:t>
      </w:r>
    </w:p>
    <w:p w14:paraId="08F38FA6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NM 280 – Condutores de cabos isolados; </w:t>
      </w:r>
    </w:p>
    <w:p w14:paraId="6661D285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NBR62271 - Conjunto de manobras de Alta-Tensão em invólucro metálico para tensão de 1 a 52KV; </w:t>
      </w:r>
    </w:p>
    <w:p w14:paraId="5706DE9A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NBR13534 - Requisitos específicos para instalação em estabelecimentos de assistência da saúde; </w:t>
      </w:r>
    </w:p>
    <w:p w14:paraId="018617D5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NR 10 – Segurança em Instalações e Serviços em Eletricidade; </w:t>
      </w:r>
    </w:p>
    <w:p w14:paraId="0320103F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Resolução Nº 414 – Condições Gerais de Fornecimento de Energia Elétrica; </w:t>
      </w:r>
    </w:p>
    <w:p w14:paraId="03FC3D0B" w14:textId="77777777" w:rsidR="000C066A" w:rsidRPr="00237CE7" w:rsidRDefault="000C066A" w:rsidP="004051CE">
      <w:pPr>
        <w:pStyle w:val="PargrafodaLista"/>
        <w:numPr>
          <w:ilvl w:val="0"/>
          <w:numId w:val="4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NBR ISO 9001- Sistemas de Gestão da Qualidade. </w:t>
      </w:r>
    </w:p>
    <w:p w14:paraId="35AFB92E" w14:textId="77777777" w:rsidR="000C066A" w:rsidRPr="00237CE7" w:rsidRDefault="000C066A" w:rsidP="004051CE">
      <w:pPr>
        <w:pStyle w:val="PargrafodaLista"/>
        <w:numPr>
          <w:ilvl w:val="0"/>
          <w:numId w:val="5"/>
        </w:numPr>
        <w:rPr>
          <w:rFonts w:cs="Arial"/>
          <w:sz w:val="22"/>
          <w:lang w:val="en-US"/>
        </w:rPr>
      </w:pPr>
      <w:r w:rsidRPr="00237CE7">
        <w:rPr>
          <w:rFonts w:cs="Arial"/>
          <w:sz w:val="22"/>
          <w:lang w:val="en-US"/>
        </w:rPr>
        <w:t xml:space="preserve">ANSI - American National Standard Institute, inclusive </w:t>
      </w:r>
      <w:proofErr w:type="spellStart"/>
      <w:r w:rsidRPr="00237CE7">
        <w:rPr>
          <w:rFonts w:cs="Arial"/>
          <w:sz w:val="22"/>
          <w:lang w:val="en-US"/>
        </w:rPr>
        <w:t>o</w:t>
      </w:r>
      <w:proofErr w:type="spellEnd"/>
      <w:r w:rsidRPr="00237CE7">
        <w:rPr>
          <w:rFonts w:cs="Arial"/>
          <w:sz w:val="22"/>
          <w:lang w:val="en-US"/>
        </w:rPr>
        <w:t xml:space="preserve"> National electric Safety Code (NESC); </w:t>
      </w:r>
    </w:p>
    <w:p w14:paraId="34286121" w14:textId="031C07DD" w:rsidR="000C066A" w:rsidRDefault="000C066A" w:rsidP="004051CE">
      <w:pPr>
        <w:pStyle w:val="PargrafodaLista"/>
        <w:numPr>
          <w:ilvl w:val="0"/>
          <w:numId w:val="5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NEMA - </w:t>
      </w:r>
      <w:proofErr w:type="spellStart"/>
      <w:r w:rsidRPr="00237CE7">
        <w:rPr>
          <w:rFonts w:cs="Arial"/>
          <w:sz w:val="22"/>
        </w:rPr>
        <w:t>National</w:t>
      </w:r>
      <w:proofErr w:type="spellEnd"/>
      <w:r w:rsidRPr="00237CE7">
        <w:rPr>
          <w:rFonts w:cs="Arial"/>
          <w:sz w:val="22"/>
        </w:rPr>
        <w:t xml:space="preserve"> </w:t>
      </w:r>
      <w:proofErr w:type="spellStart"/>
      <w:r w:rsidRPr="00237CE7">
        <w:rPr>
          <w:rFonts w:cs="Arial"/>
          <w:sz w:val="22"/>
        </w:rPr>
        <w:t>Electrical</w:t>
      </w:r>
      <w:proofErr w:type="spellEnd"/>
      <w:r w:rsidRPr="00237CE7">
        <w:rPr>
          <w:rFonts w:cs="Arial"/>
          <w:sz w:val="22"/>
        </w:rPr>
        <w:t xml:space="preserve"> </w:t>
      </w:r>
      <w:proofErr w:type="spellStart"/>
      <w:r w:rsidRPr="00237CE7">
        <w:rPr>
          <w:rFonts w:cs="Arial"/>
          <w:sz w:val="22"/>
        </w:rPr>
        <w:t>Manufacturers</w:t>
      </w:r>
      <w:proofErr w:type="spellEnd"/>
      <w:r w:rsidRPr="00237CE7">
        <w:rPr>
          <w:rFonts w:cs="Arial"/>
          <w:sz w:val="22"/>
        </w:rPr>
        <w:t xml:space="preserve"> </w:t>
      </w:r>
      <w:proofErr w:type="spellStart"/>
      <w:r w:rsidRPr="00237CE7">
        <w:rPr>
          <w:rFonts w:cs="Arial"/>
          <w:sz w:val="22"/>
        </w:rPr>
        <w:t>Association</w:t>
      </w:r>
      <w:proofErr w:type="spellEnd"/>
      <w:r w:rsidRPr="00237CE7">
        <w:rPr>
          <w:rFonts w:cs="Arial"/>
          <w:sz w:val="22"/>
        </w:rPr>
        <w:t xml:space="preserve"> </w:t>
      </w:r>
    </w:p>
    <w:p w14:paraId="51E64088" w14:textId="77777777" w:rsidR="000C066A" w:rsidRPr="00237CE7" w:rsidRDefault="000C066A" w:rsidP="004051CE">
      <w:pPr>
        <w:pStyle w:val="PargrafodaLista"/>
        <w:numPr>
          <w:ilvl w:val="0"/>
          <w:numId w:val="5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NEC - </w:t>
      </w:r>
      <w:proofErr w:type="spellStart"/>
      <w:r w:rsidRPr="00237CE7">
        <w:rPr>
          <w:rFonts w:cs="Arial"/>
          <w:sz w:val="22"/>
        </w:rPr>
        <w:t>National</w:t>
      </w:r>
      <w:proofErr w:type="spellEnd"/>
      <w:r w:rsidRPr="00237CE7">
        <w:rPr>
          <w:rFonts w:cs="Arial"/>
          <w:sz w:val="22"/>
        </w:rPr>
        <w:t xml:space="preserve"> </w:t>
      </w:r>
      <w:proofErr w:type="spellStart"/>
      <w:r w:rsidRPr="00237CE7">
        <w:rPr>
          <w:rFonts w:cs="Arial"/>
          <w:sz w:val="22"/>
        </w:rPr>
        <w:t>Electrical</w:t>
      </w:r>
      <w:proofErr w:type="spellEnd"/>
      <w:r w:rsidRPr="00237CE7">
        <w:rPr>
          <w:rFonts w:cs="Arial"/>
          <w:sz w:val="22"/>
        </w:rPr>
        <w:t xml:space="preserve"> </w:t>
      </w:r>
      <w:proofErr w:type="spellStart"/>
      <w:r w:rsidRPr="00237CE7">
        <w:rPr>
          <w:rFonts w:cs="Arial"/>
          <w:sz w:val="22"/>
        </w:rPr>
        <w:t>Code</w:t>
      </w:r>
      <w:proofErr w:type="spellEnd"/>
      <w:r w:rsidRPr="00237CE7">
        <w:rPr>
          <w:rFonts w:cs="Arial"/>
          <w:sz w:val="22"/>
        </w:rPr>
        <w:t xml:space="preserve"> </w:t>
      </w:r>
    </w:p>
    <w:p w14:paraId="798551C3" w14:textId="77777777" w:rsidR="000C066A" w:rsidRPr="00237CE7" w:rsidRDefault="000C066A" w:rsidP="004051CE">
      <w:pPr>
        <w:pStyle w:val="PargrafodaLista"/>
        <w:numPr>
          <w:ilvl w:val="0"/>
          <w:numId w:val="5"/>
        </w:numPr>
        <w:rPr>
          <w:rFonts w:cs="Arial"/>
          <w:sz w:val="22"/>
          <w:lang w:val="en-US"/>
        </w:rPr>
      </w:pPr>
      <w:r w:rsidRPr="00237CE7">
        <w:rPr>
          <w:rFonts w:cs="Arial"/>
          <w:sz w:val="22"/>
          <w:lang w:val="en-US"/>
        </w:rPr>
        <w:t xml:space="preserve">IEEE - Institute of Electrical and Electronics Engineers </w:t>
      </w:r>
    </w:p>
    <w:p w14:paraId="424B6EAB" w14:textId="1CA684CF" w:rsidR="000C066A" w:rsidRDefault="000C066A" w:rsidP="004051CE">
      <w:pPr>
        <w:pStyle w:val="PargrafodaLista"/>
        <w:numPr>
          <w:ilvl w:val="0"/>
          <w:numId w:val="5"/>
        </w:numPr>
        <w:rPr>
          <w:rFonts w:cs="Arial"/>
          <w:sz w:val="22"/>
        </w:rPr>
      </w:pPr>
      <w:r w:rsidRPr="00237CE7">
        <w:rPr>
          <w:rFonts w:cs="Arial"/>
          <w:sz w:val="22"/>
        </w:rPr>
        <w:t xml:space="preserve">IEC - Internacional </w:t>
      </w:r>
      <w:proofErr w:type="spellStart"/>
      <w:r w:rsidRPr="00237CE7">
        <w:rPr>
          <w:rFonts w:cs="Arial"/>
          <w:sz w:val="22"/>
        </w:rPr>
        <w:t>Electrotechnical</w:t>
      </w:r>
      <w:proofErr w:type="spellEnd"/>
      <w:r w:rsidRPr="00237CE7">
        <w:rPr>
          <w:rFonts w:cs="Arial"/>
          <w:sz w:val="22"/>
        </w:rPr>
        <w:t xml:space="preserve"> Commission. </w:t>
      </w:r>
    </w:p>
    <w:p w14:paraId="3B41BE6F" w14:textId="77777777" w:rsidR="00237CE7" w:rsidRPr="00237CE7" w:rsidRDefault="00237CE7" w:rsidP="00237CE7">
      <w:pPr>
        <w:pStyle w:val="PargrafodaLista"/>
        <w:rPr>
          <w:rFonts w:cs="Arial"/>
          <w:sz w:val="22"/>
        </w:rPr>
      </w:pPr>
    </w:p>
    <w:p w14:paraId="3DF2EE02" w14:textId="3DB29645" w:rsidR="000C066A" w:rsidRPr="000C066A" w:rsidRDefault="611664D3" w:rsidP="000C066A">
      <w:pPr>
        <w:spacing w:line="240" w:lineRule="auto"/>
        <w:rPr>
          <w:rFonts w:cs="Arial"/>
          <w:szCs w:val="24"/>
        </w:rPr>
      </w:pPr>
      <w:r w:rsidRPr="611664D3">
        <w:rPr>
          <w:rFonts w:cs="Arial"/>
        </w:rPr>
        <w:t xml:space="preserve">________________________________________________ </w:t>
      </w:r>
    </w:p>
    <w:p w14:paraId="5481BB46" w14:textId="1F1E06FB" w:rsidR="611664D3" w:rsidRDefault="611664D3" w:rsidP="0088463F">
      <w:pPr>
        <w:spacing w:line="240" w:lineRule="auto"/>
      </w:pPr>
      <w:r w:rsidRPr="611664D3">
        <w:rPr>
          <w:rFonts w:cs="Arial"/>
          <w:sz w:val="22"/>
        </w:rPr>
        <w:t>Fábio Augusto Aquino de Lucena</w:t>
      </w:r>
    </w:p>
    <w:p w14:paraId="1D642A44" w14:textId="3B4299AA" w:rsidR="0064526C" w:rsidRPr="009C3BEA" w:rsidRDefault="00953C68" w:rsidP="0088463F">
      <w:pPr>
        <w:spacing w:line="240" w:lineRule="auto"/>
        <w:rPr>
          <w:rFonts w:cs="Arial"/>
        </w:rPr>
      </w:pPr>
      <w:r w:rsidRPr="611664D3">
        <w:rPr>
          <w:rFonts w:cs="Arial"/>
          <w:sz w:val="22"/>
        </w:rPr>
        <w:t>Eng.</w:t>
      </w:r>
      <w:r w:rsidR="611664D3" w:rsidRPr="611664D3">
        <w:rPr>
          <w:rFonts w:cs="Arial"/>
          <w:sz w:val="22"/>
        </w:rPr>
        <w:t xml:space="preserve"> Eletricista </w:t>
      </w:r>
      <w:r w:rsidR="611664D3" w:rsidRPr="611664D3">
        <w:rPr>
          <w:rFonts w:cs="Arial"/>
        </w:rPr>
        <w:t>CREA: 180.134.324-1</w:t>
      </w:r>
    </w:p>
    <w:sectPr w:rsidR="0064526C" w:rsidRPr="009C3BEA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E5577" w14:textId="77777777" w:rsidR="00532A0C" w:rsidRDefault="00532A0C" w:rsidP="009C3BEA">
      <w:pPr>
        <w:spacing w:line="240" w:lineRule="auto"/>
      </w:pPr>
      <w:r>
        <w:separator/>
      </w:r>
    </w:p>
  </w:endnote>
  <w:endnote w:type="continuationSeparator" w:id="0">
    <w:p w14:paraId="7F6CBF97" w14:textId="77777777" w:rsidR="00532A0C" w:rsidRDefault="00532A0C" w:rsidP="009C3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0BB9" w14:textId="77777777" w:rsidR="00532A0C" w:rsidRDefault="00532A0C" w:rsidP="009C3BEA">
      <w:pPr>
        <w:spacing w:line="240" w:lineRule="auto"/>
      </w:pPr>
      <w:r>
        <w:separator/>
      </w:r>
    </w:p>
  </w:footnote>
  <w:footnote w:type="continuationSeparator" w:id="0">
    <w:p w14:paraId="418013DB" w14:textId="77777777" w:rsidR="00532A0C" w:rsidRDefault="00532A0C" w:rsidP="009C3B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32E2" w14:textId="77777777" w:rsidR="0033422C" w:rsidRDefault="0033422C" w:rsidP="009C3BEA">
    <w:pPr>
      <w:pStyle w:val="Cabealho"/>
      <w:ind w:right="360"/>
    </w:pPr>
    <w:r>
      <w:t xml:space="preserve">                                                                                             </w:t>
    </w:r>
  </w:p>
  <w:p w14:paraId="5997CC1D" w14:textId="77777777" w:rsidR="0033422C" w:rsidRDefault="0033422C" w:rsidP="009C3BEA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DE649" w14:textId="77777777" w:rsidR="0033422C" w:rsidRDefault="0033422C" w:rsidP="009C3BEA">
    <w:pPr>
      <w:pStyle w:val="Cabealho"/>
      <w:ind w:right="360"/>
    </w:pPr>
    <w:r>
      <w:t xml:space="preserve">                                                                                             </w:t>
    </w:r>
  </w:p>
  <w:p w14:paraId="28F4D5D3" w14:textId="77777777" w:rsidR="0033422C" w:rsidRDefault="0033422C" w:rsidP="00DA18E2">
    <w:pPr>
      <w:pStyle w:val="Cabealho"/>
      <w:framePr w:wrap="around" w:vAnchor="text" w:hAnchor="page" w:x="9961" w:y="217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6500E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61CDCEAD" w14:textId="77777777" w:rsidR="0033422C" w:rsidRPr="00072837" w:rsidRDefault="0033422C" w:rsidP="006662E3">
    <w:pPr>
      <w:pStyle w:val="Cabealho"/>
      <w:ind w:right="360"/>
      <w:jc w:val="left"/>
      <w:rPr>
        <w:i/>
        <w:sz w:val="16"/>
        <w:szCs w:val="16"/>
      </w:rPr>
    </w:pPr>
  </w:p>
  <w:p w14:paraId="008FA196" w14:textId="019179BD" w:rsidR="0033422C" w:rsidRPr="006C2A02" w:rsidRDefault="0033422C" w:rsidP="006662E3">
    <w:pPr>
      <w:pStyle w:val="Cabealho"/>
      <w:ind w:right="360"/>
      <w:jc w:val="left"/>
      <w:rPr>
        <w:i/>
        <w:sz w:val="20"/>
        <w:szCs w:val="20"/>
        <w:u w:val="single"/>
      </w:rPr>
    </w:pPr>
    <w:r w:rsidRPr="006662E3">
      <w:rPr>
        <w:i/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BECB12" wp14:editId="3C812E62">
              <wp:simplePos x="0" y="0"/>
              <wp:positionH relativeFrom="column">
                <wp:posOffset>0</wp:posOffset>
              </wp:positionH>
              <wp:positionV relativeFrom="paragraph">
                <wp:posOffset>208280</wp:posOffset>
              </wp:positionV>
              <wp:extent cx="5600700" cy="6985"/>
              <wp:effectExtent l="19050" t="17780" r="19050" b="13335"/>
              <wp:wrapTopAndBottom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A9CF7" id="Conector re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41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4EzAEAAHYDAAAOAAAAZHJzL2Uyb0RvYy54bWysU01vGyEQvVfqf0Dc6107tpuuvM7BaXpJ&#10;W0tJf8AY2F1UYBBgr/3vO2DHadpb1Qtivt7MvAeru6M17KBC1OhaPp3UnCknUGrXt/zH88OHW85i&#10;AifBoFMtP6nI79bv361G36gZDmikCoxAXGxG3/IhJd9UVRSDshAn6JWjYIfBQiIz9JUMMBK6NdWs&#10;rpfViEH6gELFSN77c5CvC37XKZG+d11UiZmW02ypnKGcu3xW6xU0fQA/aHEZA/5hCgvaUdMr1D0k&#10;YPug/4KyWgSM2KWJQFth12mhyg60zbT+Y5unAbwquxA50V9piv8PVnw7bAPTsuVzzhxYkmhDQomE&#10;gQWVkM0zRaOPDWVu3DbkJcXRPflHFD8jc7gZwPWqjPp88lQ/zRXVm5JsRE+NduNXlJQD+4SFr2MX&#10;bIYkJtixyHK6yqKOiQlyLpZ1/bEm9QTFlp9uF6UBNC+1PsT0RaFl+dJyo10mDRo4PMaUZ4HmJSW7&#10;HT5oY4rwxrGx5bPFnNBzKKLRMkeLEfrdxgR2gPx26psbSjqjvUkLuHeyoA0K5OfLPYE25zt1N+5C&#10;SObgzOYO5WkbMlzmhsQtY14eYn49v9sl6/W7rH8BAAD//wMAUEsDBBQABgAIAAAAIQBDVJcl3QAA&#10;AAYBAAAPAAAAZHJzL2Rvd25yZXYueG1sTI9BS8NAEIXvgv9hGcGL2E1TKDFmU0pU0IvYtAjettkx&#10;G5qdDdltG/31jic9vveG974pVpPrxQnH0HlSMJ8lIJAabzpqFey2T7cZiBA1Gd17QgVfGGBVXl4U&#10;Ojf+TBs81bEVXEIh1wpsjEMuZWgsOh1mfkDi7NOPTkeWYyvNqM9c7nqZJslSOt0RL1g9YGWxOdRH&#10;p+DFPofW1Ic3+tgtH1+/fXXz8F4pdX01re9BRJzi3zH84jM6lMy090cyQfQK+JGoYJEyP6dZlrKx&#10;Z2NxB7Is5H/88gcAAP//AwBQSwECLQAUAAYACAAAACEAtoM4kv4AAADhAQAAEwAAAAAAAAAAAAAA&#10;AAAAAAAAW0NvbnRlbnRfVHlwZXNdLnhtbFBLAQItABQABgAIAAAAIQA4/SH/1gAAAJQBAAALAAAA&#10;AAAAAAAAAAAAAC8BAABfcmVscy8ucmVsc1BLAQItABQABgAIAAAAIQBek24EzAEAAHYDAAAOAAAA&#10;AAAAAAAAAAAAAC4CAABkcnMvZTJvRG9jLnhtbFBLAQItABQABgAIAAAAIQBDVJcl3QAAAAYBAAAP&#10;AAAAAAAAAAAAAAAAACYEAABkcnMvZG93bnJldi54bWxQSwUGAAAAAAQABADzAAAAMAUAAAAA&#10;" strokecolor="#030" strokeweight="2pt">
              <w10:wrap type="topAndBottom"/>
            </v:line>
          </w:pict>
        </mc:Fallback>
      </mc:AlternateContent>
    </w:r>
    <w:r w:rsidRPr="006662E3">
      <w:rPr>
        <w:i/>
      </w:rPr>
      <w:t>Memorial Descri</w:t>
    </w:r>
    <w:r>
      <w:rPr>
        <w:i/>
      </w:rPr>
      <w:t>tivo da Subestação A</w:t>
    </w:r>
    <w:r w:rsidR="00430841">
      <w:rPr>
        <w:i/>
      </w:rPr>
      <w:t>brigada</w:t>
    </w:r>
    <w:r>
      <w:rPr>
        <w:i/>
      </w:rPr>
      <w:t xml:space="preserve"> de </w:t>
    </w:r>
    <w:r w:rsidR="00297D90">
      <w:rPr>
        <w:i/>
      </w:rPr>
      <w:t>5</w:t>
    </w:r>
    <w:r w:rsidR="007457F1">
      <w:rPr>
        <w:i/>
      </w:rPr>
      <w:t>0</w:t>
    </w:r>
    <w:r w:rsidR="00430841">
      <w:rPr>
        <w:i/>
      </w:rPr>
      <w:t>0</w:t>
    </w:r>
    <w:r w:rsidRPr="006662E3">
      <w:rPr>
        <w:i/>
      </w:rPr>
      <w:t xml:space="preserve"> kVA                 </w:t>
    </w:r>
    <w:r w:rsidRPr="00DA18E2">
      <w:rPr>
        <w:i/>
      </w:rPr>
      <w:t xml:space="preserve">  </w:t>
    </w:r>
    <w:r w:rsidRPr="00DA18E2">
      <w:rPr>
        <w:i/>
        <w:sz w:val="20"/>
        <w:szCs w:val="20"/>
      </w:rPr>
      <w:t xml:space="preserve">      </w:t>
    </w:r>
    <w:r w:rsidR="00953C68" w:rsidRPr="00DA18E2">
      <w:rPr>
        <w:i/>
        <w:sz w:val="20"/>
        <w:szCs w:val="20"/>
      </w:rPr>
      <w:t>pág.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4001D" w14:textId="5DD2C665" w:rsidR="0033422C" w:rsidRDefault="0033422C" w:rsidP="009C3BEA">
    <w:pPr>
      <w:pStyle w:val="Cabealho"/>
      <w:ind w:right="360"/>
    </w:pPr>
  </w:p>
  <w:p w14:paraId="444322F8" w14:textId="77777777" w:rsidR="0033422C" w:rsidRDefault="0033422C" w:rsidP="0032768E">
    <w:pPr>
      <w:pStyle w:val="Cabealho"/>
      <w:framePr w:wrap="around" w:vAnchor="text" w:hAnchor="page" w:x="9961" w:y="217"/>
      <w:jc w:val="left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6500E">
      <w:rPr>
        <w:rStyle w:val="Nmerodepgina"/>
        <w:noProof/>
      </w:rPr>
      <w:t>9</w:t>
    </w:r>
    <w:r>
      <w:rPr>
        <w:rStyle w:val="Nmerodepgina"/>
      </w:rPr>
      <w:fldChar w:fldCharType="end"/>
    </w:r>
  </w:p>
  <w:p w14:paraId="08CE6F91" w14:textId="77777777" w:rsidR="0033422C" w:rsidRPr="00072837" w:rsidRDefault="0033422C" w:rsidP="009C3BEA">
    <w:pPr>
      <w:pStyle w:val="Cabealho"/>
      <w:ind w:right="360"/>
      <w:rPr>
        <w:sz w:val="16"/>
        <w:szCs w:val="16"/>
      </w:rPr>
    </w:pPr>
  </w:p>
  <w:p w14:paraId="7AB12D46" w14:textId="22260B50" w:rsidR="0033422C" w:rsidRPr="006C2A02" w:rsidRDefault="0033422C" w:rsidP="0032768E">
    <w:pPr>
      <w:pStyle w:val="Cabealho"/>
      <w:ind w:right="360" w:firstLine="0"/>
      <w:jc w:val="left"/>
      <w:rPr>
        <w:i/>
        <w:sz w:val="20"/>
        <w:szCs w:val="20"/>
        <w:u w:val="single"/>
      </w:rPr>
    </w:pPr>
    <w:r w:rsidRPr="006662E3">
      <w:rPr>
        <w:i/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9062E8" wp14:editId="122F423D">
              <wp:simplePos x="0" y="0"/>
              <wp:positionH relativeFrom="column">
                <wp:posOffset>0</wp:posOffset>
              </wp:positionH>
              <wp:positionV relativeFrom="paragraph">
                <wp:posOffset>208280</wp:posOffset>
              </wp:positionV>
              <wp:extent cx="5600700" cy="6985"/>
              <wp:effectExtent l="19050" t="17780" r="19050" b="13335"/>
              <wp:wrapTopAndBottom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7F04F" id="Conector reto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41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KDywEAAHYDAAAOAAAAZHJzL2Uyb0RvYy54bWysU01vEzEQvSPxHyzfyW5SEsoqmx5SyqVA&#10;pJYfMLG9WQuvxxo72eTfM3bSQOGGuFierzcz79nLu+PgxMFQtOhbOZ3UUhivUFu/a+X354d3t1LE&#10;BF6DQ29aeTJR3q3evlmOoTEz7NFpQ4JBfGzG0Mo+pdBUVVS9GSBOMBjPwQ5pgMQm7SpNMDL64KpZ&#10;XS+qEUkHQmViZO/9OShXBb/rjErfui6aJFwrebZUTirnNp/VagnNjiD0Vl3GgH+YYgDruekV6h4S&#10;iD3Zv6AGqwgjdmmicKiw66wyZQfeZlr/sc1TD8GUXZicGK40xf8Hq74eNiSsbuVMCg8DS7RmoVRC&#10;EmQSilmmaAyx4cy131BeUh39U3hE9SMKj+se/M6UUZ9PgeunuaJ6VZKNGLjRdvyCmnNgn7Dwdexo&#10;yJDMhDgWWU5XWcwxCcXO+aKuP9SsnuLY4uPtvDSA5qU2UEyfDQ4iX1rprM+kQQOHx5jyLNC8pGS3&#10;xwfrXBHeeTHy5vP3jJ5DEZ3VOVoM2m3XjsQB8tupb2446Yz2Ko1w73VB6w3oT5d7AuvOd+7u/IWQ&#10;zMGZzS3q04YyXOaGxS1jXh5ifj2/2yXr13dZ/QQAAP//AwBQSwMEFAAGAAgAAAAhAENUlyXdAAAA&#10;BgEAAA8AAABkcnMvZG93bnJldi54bWxMj0FLw0AQhe+C/2EZwYvYTVMoMWZTSlTQi9i0CN622TEb&#10;mp0N2W0b/fWOJz2+94b3vilWk+vFCcfQeVIwnyUgkBpvOmoV7LZPtxmIEDUZ3XtCBV8YYFVeXhQ6&#10;N/5MGzzVsRVcQiHXCmyMQy5laCw6HWZ+QOLs049OR5ZjK82oz1zuepkmyVI63REvWD1gZbE51Een&#10;4MU+h9bUhzf62C0fX799dfPwXil1fTWt70FEnOLfMfziMzqUzLT3RzJB9Ar4kahgkTI/p1mWsrFn&#10;Y3EHsizkf/zyBwAA//8DAFBLAQItABQABgAIAAAAIQC2gziS/gAAAOEBAAATAAAAAAAAAAAAAAAA&#10;AAAAAABbQ29udGVudF9UeXBlc10ueG1sUEsBAi0AFAAGAAgAAAAhADj9If/WAAAAlAEAAAsAAAAA&#10;AAAAAAAAAAAALwEAAF9yZWxzLy5yZWxzUEsBAi0AFAAGAAgAAAAhAIlLEoPLAQAAdgMAAA4AAAAA&#10;AAAAAAAAAAAALgIAAGRycy9lMm9Eb2MueG1sUEsBAi0AFAAGAAgAAAAhAENUlyXdAAAABgEAAA8A&#10;AAAAAAAAAAAAAAAAJQQAAGRycy9kb3ducmV2LnhtbFBLBQYAAAAABAAEAPMAAAAvBQAAAAA=&#10;" strokecolor="#030" strokeweight="2pt">
              <w10:wrap type="topAndBottom"/>
            </v:line>
          </w:pict>
        </mc:Fallback>
      </mc:AlternateContent>
    </w:r>
    <w:r w:rsidR="00430841" w:rsidRPr="006662E3">
      <w:rPr>
        <w:i/>
      </w:rPr>
      <w:t>Memorial Descri</w:t>
    </w:r>
    <w:r w:rsidR="00430841">
      <w:rPr>
        <w:i/>
      </w:rPr>
      <w:t xml:space="preserve">tivo da Subestação Abrigada de </w:t>
    </w:r>
    <w:r w:rsidR="00297D90">
      <w:rPr>
        <w:i/>
      </w:rPr>
      <w:t>5</w:t>
    </w:r>
    <w:r w:rsidR="007457F1">
      <w:rPr>
        <w:i/>
      </w:rPr>
      <w:t>0</w:t>
    </w:r>
    <w:r w:rsidR="00430841">
      <w:rPr>
        <w:i/>
      </w:rPr>
      <w:t>0</w:t>
    </w:r>
    <w:r w:rsidR="00430841" w:rsidRPr="006662E3">
      <w:rPr>
        <w:i/>
      </w:rPr>
      <w:t xml:space="preserve"> kVA                 </w:t>
    </w:r>
    <w:r w:rsidR="0032768E">
      <w:rPr>
        <w:i/>
      </w:rPr>
      <w:t xml:space="preserve">            </w:t>
    </w:r>
    <w:r w:rsidR="00430841" w:rsidRPr="00DA18E2">
      <w:rPr>
        <w:i/>
        <w:sz w:val="20"/>
        <w:szCs w:val="20"/>
      </w:rPr>
      <w:t xml:space="preserve">      </w:t>
    </w:r>
    <w:r w:rsidR="00953C68" w:rsidRPr="00061D63">
      <w:rPr>
        <w:i/>
        <w:szCs w:val="24"/>
      </w:rPr>
      <w:t>pág.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42F9"/>
    <w:multiLevelType w:val="hybridMultilevel"/>
    <w:tmpl w:val="F9A000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772B6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BEA655C"/>
    <w:multiLevelType w:val="hybridMultilevel"/>
    <w:tmpl w:val="A0881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E4A66"/>
    <w:multiLevelType w:val="hybridMultilevel"/>
    <w:tmpl w:val="CFF44AA6"/>
    <w:lvl w:ilvl="0" w:tplc="9ECA3E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09B6A70"/>
    <w:multiLevelType w:val="hybridMultilevel"/>
    <w:tmpl w:val="41D29C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C0FCD"/>
    <w:multiLevelType w:val="hybridMultilevel"/>
    <w:tmpl w:val="C3147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08D"/>
    <w:multiLevelType w:val="hybridMultilevel"/>
    <w:tmpl w:val="D1043C9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AE3B74"/>
    <w:multiLevelType w:val="hybridMultilevel"/>
    <w:tmpl w:val="1D5A4612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46557F"/>
    <w:multiLevelType w:val="hybridMultilevel"/>
    <w:tmpl w:val="13AE3E6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06713E"/>
    <w:multiLevelType w:val="hybridMultilevel"/>
    <w:tmpl w:val="22F68334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A65A8"/>
    <w:multiLevelType w:val="hybridMultilevel"/>
    <w:tmpl w:val="4C3AB2D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63CF0"/>
    <w:multiLevelType w:val="hybridMultilevel"/>
    <w:tmpl w:val="EA4292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82AD2"/>
    <w:multiLevelType w:val="hybridMultilevel"/>
    <w:tmpl w:val="FAA64E9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0494F"/>
    <w:multiLevelType w:val="hybridMultilevel"/>
    <w:tmpl w:val="35846E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B6C79"/>
    <w:multiLevelType w:val="hybridMultilevel"/>
    <w:tmpl w:val="6630B7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14"/>
  </w:num>
  <w:num w:numId="10">
    <w:abstractNumId w:val="4"/>
  </w:num>
  <w:num w:numId="11">
    <w:abstractNumId w:val="11"/>
  </w:num>
  <w:num w:numId="12">
    <w:abstractNumId w:val="0"/>
  </w:num>
  <w:num w:numId="13">
    <w:abstractNumId w:val="10"/>
  </w:num>
  <w:num w:numId="14">
    <w:abstractNumId w:val="7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66A"/>
    <w:rsid w:val="00000181"/>
    <w:rsid w:val="00000414"/>
    <w:rsid w:val="00001C36"/>
    <w:rsid w:val="00026BEC"/>
    <w:rsid w:val="000437CF"/>
    <w:rsid w:val="00060555"/>
    <w:rsid w:val="00061D63"/>
    <w:rsid w:val="00061EB9"/>
    <w:rsid w:val="0006329D"/>
    <w:rsid w:val="0007231D"/>
    <w:rsid w:val="00072837"/>
    <w:rsid w:val="0007542C"/>
    <w:rsid w:val="0008279F"/>
    <w:rsid w:val="00087967"/>
    <w:rsid w:val="00094FFE"/>
    <w:rsid w:val="000A0952"/>
    <w:rsid w:val="000A4F73"/>
    <w:rsid w:val="000A6F65"/>
    <w:rsid w:val="000A780B"/>
    <w:rsid w:val="000B0EC1"/>
    <w:rsid w:val="000C066A"/>
    <w:rsid w:val="000D57EC"/>
    <w:rsid w:val="000D6690"/>
    <w:rsid w:val="000D7571"/>
    <w:rsid w:val="000D7E4E"/>
    <w:rsid w:val="000F5383"/>
    <w:rsid w:val="000F786A"/>
    <w:rsid w:val="0010363C"/>
    <w:rsid w:val="001249C7"/>
    <w:rsid w:val="001267EC"/>
    <w:rsid w:val="001321F2"/>
    <w:rsid w:val="0013451B"/>
    <w:rsid w:val="0014018E"/>
    <w:rsid w:val="001510A3"/>
    <w:rsid w:val="001518DD"/>
    <w:rsid w:val="001565D0"/>
    <w:rsid w:val="001653E7"/>
    <w:rsid w:val="001705C4"/>
    <w:rsid w:val="00175CB7"/>
    <w:rsid w:val="0017616E"/>
    <w:rsid w:val="00180188"/>
    <w:rsid w:val="0018031A"/>
    <w:rsid w:val="0018206B"/>
    <w:rsid w:val="001A16AA"/>
    <w:rsid w:val="001B0A2A"/>
    <w:rsid w:val="001B4FA0"/>
    <w:rsid w:val="001C35B9"/>
    <w:rsid w:val="001D10EE"/>
    <w:rsid w:val="001D16BF"/>
    <w:rsid w:val="001D2242"/>
    <w:rsid w:val="001F4792"/>
    <w:rsid w:val="001F4EF2"/>
    <w:rsid w:val="001F7887"/>
    <w:rsid w:val="001F7E28"/>
    <w:rsid w:val="00214F9C"/>
    <w:rsid w:val="00217790"/>
    <w:rsid w:val="00236334"/>
    <w:rsid w:val="00237CE7"/>
    <w:rsid w:val="00254350"/>
    <w:rsid w:val="0025484B"/>
    <w:rsid w:val="002564D0"/>
    <w:rsid w:val="00263CAF"/>
    <w:rsid w:val="00266EB7"/>
    <w:rsid w:val="00267CAF"/>
    <w:rsid w:val="00272BE9"/>
    <w:rsid w:val="00273473"/>
    <w:rsid w:val="0027603B"/>
    <w:rsid w:val="00276CDD"/>
    <w:rsid w:val="00282720"/>
    <w:rsid w:val="0028346C"/>
    <w:rsid w:val="00284151"/>
    <w:rsid w:val="002869D7"/>
    <w:rsid w:val="00295602"/>
    <w:rsid w:val="00297D90"/>
    <w:rsid w:val="002A298B"/>
    <w:rsid w:val="002C3B5F"/>
    <w:rsid w:val="002C455B"/>
    <w:rsid w:val="002D0B8E"/>
    <w:rsid w:val="002D4422"/>
    <w:rsid w:val="002E6271"/>
    <w:rsid w:val="0030362B"/>
    <w:rsid w:val="003122EC"/>
    <w:rsid w:val="00314837"/>
    <w:rsid w:val="003153A5"/>
    <w:rsid w:val="00316891"/>
    <w:rsid w:val="00316A3A"/>
    <w:rsid w:val="00316C18"/>
    <w:rsid w:val="003175EB"/>
    <w:rsid w:val="0032255F"/>
    <w:rsid w:val="00322690"/>
    <w:rsid w:val="003260C1"/>
    <w:rsid w:val="00326B1F"/>
    <w:rsid w:val="0032768E"/>
    <w:rsid w:val="00327699"/>
    <w:rsid w:val="00330C1F"/>
    <w:rsid w:val="00333320"/>
    <w:rsid w:val="0033422C"/>
    <w:rsid w:val="00335C0B"/>
    <w:rsid w:val="0034477C"/>
    <w:rsid w:val="003511BB"/>
    <w:rsid w:val="0035431F"/>
    <w:rsid w:val="00355F5D"/>
    <w:rsid w:val="00365B52"/>
    <w:rsid w:val="003702AC"/>
    <w:rsid w:val="003720EA"/>
    <w:rsid w:val="00372B36"/>
    <w:rsid w:val="00382223"/>
    <w:rsid w:val="0038240A"/>
    <w:rsid w:val="00396A19"/>
    <w:rsid w:val="003A623C"/>
    <w:rsid w:val="003C5A1B"/>
    <w:rsid w:val="003C6778"/>
    <w:rsid w:val="003E7BB4"/>
    <w:rsid w:val="004051CE"/>
    <w:rsid w:val="004130DB"/>
    <w:rsid w:val="00422BA9"/>
    <w:rsid w:val="004236AD"/>
    <w:rsid w:val="00424C10"/>
    <w:rsid w:val="00427550"/>
    <w:rsid w:val="00430841"/>
    <w:rsid w:val="00437029"/>
    <w:rsid w:val="00447D17"/>
    <w:rsid w:val="004510D8"/>
    <w:rsid w:val="004547DD"/>
    <w:rsid w:val="00455A68"/>
    <w:rsid w:val="00455FF9"/>
    <w:rsid w:val="004561AC"/>
    <w:rsid w:val="004642DF"/>
    <w:rsid w:val="00467306"/>
    <w:rsid w:val="00474F78"/>
    <w:rsid w:val="0048008D"/>
    <w:rsid w:val="004947F3"/>
    <w:rsid w:val="004948C3"/>
    <w:rsid w:val="00495DFA"/>
    <w:rsid w:val="004A0613"/>
    <w:rsid w:val="004A22E1"/>
    <w:rsid w:val="004A44CF"/>
    <w:rsid w:val="004C087D"/>
    <w:rsid w:val="004C1391"/>
    <w:rsid w:val="004D2DB4"/>
    <w:rsid w:val="004D4934"/>
    <w:rsid w:val="004E3A13"/>
    <w:rsid w:val="004F1804"/>
    <w:rsid w:val="004F4F9B"/>
    <w:rsid w:val="0050598A"/>
    <w:rsid w:val="00513EF5"/>
    <w:rsid w:val="00520ABF"/>
    <w:rsid w:val="00527D56"/>
    <w:rsid w:val="00530CAE"/>
    <w:rsid w:val="005313DB"/>
    <w:rsid w:val="005323DD"/>
    <w:rsid w:val="00532A0C"/>
    <w:rsid w:val="00544679"/>
    <w:rsid w:val="005462F2"/>
    <w:rsid w:val="00570335"/>
    <w:rsid w:val="00575B63"/>
    <w:rsid w:val="00577D19"/>
    <w:rsid w:val="00591132"/>
    <w:rsid w:val="005921CF"/>
    <w:rsid w:val="00592835"/>
    <w:rsid w:val="0059616B"/>
    <w:rsid w:val="005A372B"/>
    <w:rsid w:val="005B061B"/>
    <w:rsid w:val="005C035A"/>
    <w:rsid w:val="005C2175"/>
    <w:rsid w:val="005C54CF"/>
    <w:rsid w:val="005C652B"/>
    <w:rsid w:val="005D3964"/>
    <w:rsid w:val="005D4009"/>
    <w:rsid w:val="005F6480"/>
    <w:rsid w:val="00602E03"/>
    <w:rsid w:val="00604086"/>
    <w:rsid w:val="00604B0B"/>
    <w:rsid w:val="00605D54"/>
    <w:rsid w:val="00637E08"/>
    <w:rsid w:val="00644B3B"/>
    <w:rsid w:val="0064526C"/>
    <w:rsid w:val="00647555"/>
    <w:rsid w:val="00657B9C"/>
    <w:rsid w:val="00664A63"/>
    <w:rsid w:val="0066540D"/>
    <w:rsid w:val="006662E3"/>
    <w:rsid w:val="00672254"/>
    <w:rsid w:val="0067553A"/>
    <w:rsid w:val="00675A04"/>
    <w:rsid w:val="00682552"/>
    <w:rsid w:val="00682B52"/>
    <w:rsid w:val="00685FCA"/>
    <w:rsid w:val="00686D5A"/>
    <w:rsid w:val="006879A6"/>
    <w:rsid w:val="00696BF8"/>
    <w:rsid w:val="006A4ED4"/>
    <w:rsid w:val="006B2914"/>
    <w:rsid w:val="006C1262"/>
    <w:rsid w:val="006C1D27"/>
    <w:rsid w:val="006D0E95"/>
    <w:rsid w:val="006D5CB0"/>
    <w:rsid w:val="006E258B"/>
    <w:rsid w:val="006F16FC"/>
    <w:rsid w:val="00715AD0"/>
    <w:rsid w:val="00715C63"/>
    <w:rsid w:val="0071719B"/>
    <w:rsid w:val="00721AD8"/>
    <w:rsid w:val="00725C35"/>
    <w:rsid w:val="00726340"/>
    <w:rsid w:val="00732264"/>
    <w:rsid w:val="00732F60"/>
    <w:rsid w:val="007457F1"/>
    <w:rsid w:val="0074704C"/>
    <w:rsid w:val="00753ABC"/>
    <w:rsid w:val="00757117"/>
    <w:rsid w:val="00757717"/>
    <w:rsid w:val="00765694"/>
    <w:rsid w:val="00766CA1"/>
    <w:rsid w:val="00781FC0"/>
    <w:rsid w:val="00782E6E"/>
    <w:rsid w:val="007A2AC3"/>
    <w:rsid w:val="007C1E8A"/>
    <w:rsid w:val="007C4334"/>
    <w:rsid w:val="007D58C3"/>
    <w:rsid w:val="007E4184"/>
    <w:rsid w:val="007E4B05"/>
    <w:rsid w:val="007E6FC7"/>
    <w:rsid w:val="00802F24"/>
    <w:rsid w:val="00842393"/>
    <w:rsid w:val="00845512"/>
    <w:rsid w:val="00845762"/>
    <w:rsid w:val="00854550"/>
    <w:rsid w:val="00862710"/>
    <w:rsid w:val="00864047"/>
    <w:rsid w:val="008703D4"/>
    <w:rsid w:val="0087302A"/>
    <w:rsid w:val="00875172"/>
    <w:rsid w:val="008752F8"/>
    <w:rsid w:val="0087738B"/>
    <w:rsid w:val="00882201"/>
    <w:rsid w:val="0088463F"/>
    <w:rsid w:val="008952F8"/>
    <w:rsid w:val="008A01BE"/>
    <w:rsid w:val="008A4F5C"/>
    <w:rsid w:val="008B06AA"/>
    <w:rsid w:val="008B12BD"/>
    <w:rsid w:val="008B461C"/>
    <w:rsid w:val="008B4BB4"/>
    <w:rsid w:val="008C4739"/>
    <w:rsid w:val="008D1901"/>
    <w:rsid w:val="008E117B"/>
    <w:rsid w:val="0091127A"/>
    <w:rsid w:val="00925F9F"/>
    <w:rsid w:val="00927745"/>
    <w:rsid w:val="009335ED"/>
    <w:rsid w:val="00934AD0"/>
    <w:rsid w:val="00943678"/>
    <w:rsid w:val="009439B8"/>
    <w:rsid w:val="00943B5A"/>
    <w:rsid w:val="00944F34"/>
    <w:rsid w:val="00952845"/>
    <w:rsid w:val="00953C68"/>
    <w:rsid w:val="0095504D"/>
    <w:rsid w:val="00960FD6"/>
    <w:rsid w:val="00976D96"/>
    <w:rsid w:val="00981A05"/>
    <w:rsid w:val="009A0BFE"/>
    <w:rsid w:val="009A0E26"/>
    <w:rsid w:val="009A1C4A"/>
    <w:rsid w:val="009A3354"/>
    <w:rsid w:val="009A6B5F"/>
    <w:rsid w:val="009B5511"/>
    <w:rsid w:val="009C3BEA"/>
    <w:rsid w:val="009C762D"/>
    <w:rsid w:val="009E2528"/>
    <w:rsid w:val="009E4C7E"/>
    <w:rsid w:val="009E4F38"/>
    <w:rsid w:val="009F10AC"/>
    <w:rsid w:val="009F4B3D"/>
    <w:rsid w:val="009F66D8"/>
    <w:rsid w:val="00A00D43"/>
    <w:rsid w:val="00A05D5A"/>
    <w:rsid w:val="00A13D99"/>
    <w:rsid w:val="00A21755"/>
    <w:rsid w:val="00A357B7"/>
    <w:rsid w:val="00A57210"/>
    <w:rsid w:val="00A6580F"/>
    <w:rsid w:val="00A714DF"/>
    <w:rsid w:val="00A72DDA"/>
    <w:rsid w:val="00A73A4B"/>
    <w:rsid w:val="00A867EB"/>
    <w:rsid w:val="00A91802"/>
    <w:rsid w:val="00AA104D"/>
    <w:rsid w:val="00AA1656"/>
    <w:rsid w:val="00AA3221"/>
    <w:rsid w:val="00AA3E7B"/>
    <w:rsid w:val="00AB07E6"/>
    <w:rsid w:val="00AC0CFE"/>
    <w:rsid w:val="00AC29F8"/>
    <w:rsid w:val="00AC4D3D"/>
    <w:rsid w:val="00AD5207"/>
    <w:rsid w:val="00AD5D64"/>
    <w:rsid w:val="00AE5126"/>
    <w:rsid w:val="00AE6F48"/>
    <w:rsid w:val="00AE6FBF"/>
    <w:rsid w:val="00AF65E9"/>
    <w:rsid w:val="00AF6601"/>
    <w:rsid w:val="00AF7DD9"/>
    <w:rsid w:val="00B0041D"/>
    <w:rsid w:val="00B05137"/>
    <w:rsid w:val="00B143FA"/>
    <w:rsid w:val="00B1718E"/>
    <w:rsid w:val="00B332E5"/>
    <w:rsid w:val="00B403D2"/>
    <w:rsid w:val="00B46D77"/>
    <w:rsid w:val="00B52B7C"/>
    <w:rsid w:val="00B73A2D"/>
    <w:rsid w:val="00B77F23"/>
    <w:rsid w:val="00B826C9"/>
    <w:rsid w:val="00B946E0"/>
    <w:rsid w:val="00B94FBA"/>
    <w:rsid w:val="00B95425"/>
    <w:rsid w:val="00B957E1"/>
    <w:rsid w:val="00B96778"/>
    <w:rsid w:val="00BA6926"/>
    <w:rsid w:val="00BB3547"/>
    <w:rsid w:val="00BB573A"/>
    <w:rsid w:val="00BB789A"/>
    <w:rsid w:val="00BC41D4"/>
    <w:rsid w:val="00BC6FEB"/>
    <w:rsid w:val="00BD4C9C"/>
    <w:rsid w:val="00BE1579"/>
    <w:rsid w:val="00BF0EA0"/>
    <w:rsid w:val="00BF1F91"/>
    <w:rsid w:val="00BF402D"/>
    <w:rsid w:val="00BF4591"/>
    <w:rsid w:val="00BF61B7"/>
    <w:rsid w:val="00BF7EEB"/>
    <w:rsid w:val="00C16E61"/>
    <w:rsid w:val="00C24A71"/>
    <w:rsid w:val="00C3414A"/>
    <w:rsid w:val="00C360DF"/>
    <w:rsid w:val="00C36264"/>
    <w:rsid w:val="00C45E22"/>
    <w:rsid w:val="00C64876"/>
    <w:rsid w:val="00C76891"/>
    <w:rsid w:val="00C868A3"/>
    <w:rsid w:val="00CA6400"/>
    <w:rsid w:val="00CA6A13"/>
    <w:rsid w:val="00CA6CB8"/>
    <w:rsid w:val="00CB04D6"/>
    <w:rsid w:val="00CB1B92"/>
    <w:rsid w:val="00CC1860"/>
    <w:rsid w:val="00CC1946"/>
    <w:rsid w:val="00CD387D"/>
    <w:rsid w:val="00CE0194"/>
    <w:rsid w:val="00CE05FE"/>
    <w:rsid w:val="00CE0FED"/>
    <w:rsid w:val="00CE4B04"/>
    <w:rsid w:val="00CF47C0"/>
    <w:rsid w:val="00D0205E"/>
    <w:rsid w:val="00D03C84"/>
    <w:rsid w:val="00D1714D"/>
    <w:rsid w:val="00D21438"/>
    <w:rsid w:val="00D43F0F"/>
    <w:rsid w:val="00D45849"/>
    <w:rsid w:val="00D46F30"/>
    <w:rsid w:val="00D6500E"/>
    <w:rsid w:val="00D653C2"/>
    <w:rsid w:val="00D6773B"/>
    <w:rsid w:val="00D704FE"/>
    <w:rsid w:val="00D71BCC"/>
    <w:rsid w:val="00D7676F"/>
    <w:rsid w:val="00D773C0"/>
    <w:rsid w:val="00D852E7"/>
    <w:rsid w:val="00D9063B"/>
    <w:rsid w:val="00D90F83"/>
    <w:rsid w:val="00D939D3"/>
    <w:rsid w:val="00DA18E2"/>
    <w:rsid w:val="00DA658F"/>
    <w:rsid w:val="00DB0651"/>
    <w:rsid w:val="00DB3651"/>
    <w:rsid w:val="00DC6171"/>
    <w:rsid w:val="00DE26E0"/>
    <w:rsid w:val="00DE4E2D"/>
    <w:rsid w:val="00DF2F2B"/>
    <w:rsid w:val="00DF6351"/>
    <w:rsid w:val="00DF72A7"/>
    <w:rsid w:val="00DF7EC2"/>
    <w:rsid w:val="00E0397E"/>
    <w:rsid w:val="00E20B35"/>
    <w:rsid w:val="00E30477"/>
    <w:rsid w:val="00E41AC2"/>
    <w:rsid w:val="00E44BE9"/>
    <w:rsid w:val="00E50CD7"/>
    <w:rsid w:val="00E66D49"/>
    <w:rsid w:val="00E67FAA"/>
    <w:rsid w:val="00E72E7C"/>
    <w:rsid w:val="00E73941"/>
    <w:rsid w:val="00E749FB"/>
    <w:rsid w:val="00E869BB"/>
    <w:rsid w:val="00EB32AB"/>
    <w:rsid w:val="00EC29E9"/>
    <w:rsid w:val="00ED0882"/>
    <w:rsid w:val="00EE0C18"/>
    <w:rsid w:val="00EE17A2"/>
    <w:rsid w:val="00EE316E"/>
    <w:rsid w:val="00EF33FF"/>
    <w:rsid w:val="00EF5B1F"/>
    <w:rsid w:val="00F04AC2"/>
    <w:rsid w:val="00F05842"/>
    <w:rsid w:val="00F066CD"/>
    <w:rsid w:val="00F11724"/>
    <w:rsid w:val="00F12EB1"/>
    <w:rsid w:val="00F16A1C"/>
    <w:rsid w:val="00F22346"/>
    <w:rsid w:val="00F30832"/>
    <w:rsid w:val="00F32028"/>
    <w:rsid w:val="00F32286"/>
    <w:rsid w:val="00F32D3B"/>
    <w:rsid w:val="00F35A18"/>
    <w:rsid w:val="00F37E26"/>
    <w:rsid w:val="00F5211C"/>
    <w:rsid w:val="00F55D39"/>
    <w:rsid w:val="00F6107F"/>
    <w:rsid w:val="00F646EF"/>
    <w:rsid w:val="00F64F25"/>
    <w:rsid w:val="00F7318C"/>
    <w:rsid w:val="00F75B31"/>
    <w:rsid w:val="00F7791D"/>
    <w:rsid w:val="00F81BBF"/>
    <w:rsid w:val="00F845BC"/>
    <w:rsid w:val="00F924B9"/>
    <w:rsid w:val="00FA1E7D"/>
    <w:rsid w:val="00FA56D0"/>
    <w:rsid w:val="00FB2FAC"/>
    <w:rsid w:val="00FC12A3"/>
    <w:rsid w:val="00FC5DE8"/>
    <w:rsid w:val="00FD2720"/>
    <w:rsid w:val="00FE2355"/>
    <w:rsid w:val="00FE436B"/>
    <w:rsid w:val="00FE4C4B"/>
    <w:rsid w:val="00FE6214"/>
    <w:rsid w:val="00FE7DCC"/>
    <w:rsid w:val="00FF47B0"/>
    <w:rsid w:val="04522647"/>
    <w:rsid w:val="0F8600B1"/>
    <w:rsid w:val="3A4D47D0"/>
    <w:rsid w:val="6116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4C6550"/>
  <w15:chartTrackingRefBased/>
  <w15:docId w15:val="{B8D38A22-4AED-4043-A274-3B832717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8E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2768E"/>
    <w:pPr>
      <w:keepNext/>
      <w:keepLines/>
      <w:numPr>
        <w:numId w:val="3"/>
      </w:numPr>
      <w:spacing w:before="240" w:after="240"/>
      <w:ind w:left="431" w:hanging="431"/>
      <w:outlineLvl w:val="0"/>
    </w:pPr>
    <w:rPr>
      <w:rFonts w:eastAsiaTheme="majorEastAsia" w:cstheme="majorBidi"/>
      <w:b/>
      <w:i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2768E"/>
    <w:pPr>
      <w:keepNext/>
      <w:keepLines/>
      <w:numPr>
        <w:ilvl w:val="1"/>
        <w:numId w:val="3"/>
      </w:numPr>
      <w:spacing w:before="240" w:after="200"/>
      <w:ind w:left="578" w:hanging="578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768E"/>
    <w:pPr>
      <w:keepNext/>
      <w:keepLines/>
      <w:numPr>
        <w:ilvl w:val="2"/>
        <w:numId w:val="3"/>
      </w:numPr>
      <w:spacing w:before="200" w:after="160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B291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B291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B291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B291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B291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B291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2768E"/>
    <w:rPr>
      <w:rFonts w:ascii="Times New Roman" w:eastAsiaTheme="majorEastAsia" w:hAnsi="Times New Roman" w:cstheme="majorBidi"/>
      <w:b/>
      <w:i/>
      <w:sz w:val="28"/>
      <w:szCs w:val="32"/>
    </w:rPr>
  </w:style>
  <w:style w:type="paragraph" w:styleId="Cabealho">
    <w:name w:val="header"/>
    <w:basedOn w:val="Normal"/>
    <w:link w:val="CabealhoChar"/>
    <w:unhideWhenUsed/>
    <w:rsid w:val="009C3BE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3BEA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9C3BE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3BEA"/>
    <w:rPr>
      <w:rFonts w:ascii="Arial" w:hAnsi="Arial"/>
      <w:sz w:val="24"/>
    </w:rPr>
  </w:style>
  <w:style w:type="character" w:styleId="Nmerodepgina">
    <w:name w:val="page number"/>
    <w:basedOn w:val="Fontepargpadro"/>
    <w:rsid w:val="009C3BEA"/>
  </w:style>
  <w:style w:type="paragraph" w:styleId="Textodebalo">
    <w:name w:val="Balloon Text"/>
    <w:basedOn w:val="Normal"/>
    <w:link w:val="TextodebaloChar"/>
    <w:uiPriority w:val="99"/>
    <w:semiHidden/>
    <w:unhideWhenUsed/>
    <w:rsid w:val="006662E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62E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82552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F12EB1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32768E"/>
    <w:pPr>
      <w:tabs>
        <w:tab w:val="left" w:pos="1100"/>
        <w:tab w:val="right" w:leader="dot" w:pos="8494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F12EB1"/>
    <w:rPr>
      <w:color w:val="0563C1" w:themeColor="hyperlink"/>
      <w:u w:val="single"/>
    </w:rPr>
  </w:style>
  <w:style w:type="character" w:customStyle="1" w:styleId="apple-converted-space">
    <w:name w:val="apple-converted-space"/>
    <w:basedOn w:val="Fontepargpadro"/>
    <w:rsid w:val="00BE1579"/>
  </w:style>
  <w:style w:type="character" w:customStyle="1" w:styleId="Ttulo2Char">
    <w:name w:val="Título 2 Char"/>
    <w:basedOn w:val="Fontepargpadro"/>
    <w:link w:val="Ttulo2"/>
    <w:uiPriority w:val="9"/>
    <w:rsid w:val="0032768E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32768E"/>
    <w:rPr>
      <w:rFonts w:ascii="Times New Roman" w:eastAsiaTheme="majorEastAsia" w:hAnsi="Times New Roman" w:cstheme="majorBidi"/>
      <w:color w:val="000000" w:themeColor="tex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B291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B2914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B291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B291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B29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B29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comgrade">
    <w:name w:val="Table Grid"/>
    <w:basedOn w:val="Tabelanormal"/>
    <w:uiPriority w:val="39"/>
    <w:rsid w:val="00A9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2869D7"/>
    <w:rPr>
      <w:color w:val="808080"/>
    </w:rPr>
  </w:style>
  <w:style w:type="paragraph" w:styleId="Sumrio2">
    <w:name w:val="toc 2"/>
    <w:basedOn w:val="Normal"/>
    <w:next w:val="Normal"/>
    <w:autoRedefine/>
    <w:uiPriority w:val="39"/>
    <w:unhideWhenUsed/>
    <w:rsid w:val="00AF7DD9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A867EB"/>
    <w:pPr>
      <w:spacing w:after="100"/>
      <w:ind w:left="480"/>
    </w:pPr>
  </w:style>
  <w:style w:type="character" w:customStyle="1" w:styleId="lrzxr">
    <w:name w:val="lrzxr"/>
    <w:basedOn w:val="Fontepargpadro"/>
    <w:rsid w:val="004C1391"/>
  </w:style>
  <w:style w:type="character" w:customStyle="1" w:styleId="text">
    <w:name w:val="text"/>
    <w:basedOn w:val="Fontepargpadro"/>
    <w:rsid w:val="00EE0C18"/>
  </w:style>
  <w:style w:type="paragraph" w:styleId="Legenda">
    <w:name w:val="caption"/>
    <w:basedOn w:val="Normal"/>
    <w:next w:val="Normal"/>
    <w:uiPriority w:val="35"/>
    <w:unhideWhenUsed/>
    <w:qFormat/>
    <w:rsid w:val="00DB36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CE0F5F8F1AC04BA35437387E67A39D" ma:contentTypeVersion="11" ma:contentTypeDescription="Criar um novo documento." ma:contentTypeScope="" ma:versionID="8017697ac78c84a62ffe8b56b229d706">
  <xsd:schema xmlns:xsd="http://www.w3.org/2001/XMLSchema" xmlns:xs="http://www.w3.org/2001/XMLSchema" xmlns:p="http://schemas.microsoft.com/office/2006/metadata/properties" xmlns:ns2="6acf34e6-2f5d-4db1-b433-60da5b7843f0" targetNamespace="http://schemas.microsoft.com/office/2006/metadata/properties" ma:root="true" ma:fieldsID="d9605cceef75f13e9c73ef1219cca145" ns2:_="">
    <xsd:import namespace="6acf34e6-2f5d-4db1-b433-60da5b784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f34e6-2f5d-4db1-b433-60da5b784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73366F-43E3-43C2-B126-14741C05A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3BE26-5D18-434D-9AFE-CA3B457A5F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DC62FD-9CB2-4300-8DAB-81468BDFCFC1}"/>
</file>

<file path=customXml/itemProps4.xml><?xml version="1.0" encoding="utf-8"?>
<ds:datastoreItem xmlns:ds="http://schemas.openxmlformats.org/officeDocument/2006/customXml" ds:itemID="{1A355BA3-67CC-4C46-965F-874B800AA4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15</Pages>
  <Words>3369</Words>
  <Characters>18198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Fábio Augusto Aquino de Lucena</dc:creator>
  <cp:keywords/>
  <dc:description/>
  <cp:lastModifiedBy>Engpro projetos</cp:lastModifiedBy>
  <cp:revision>34</cp:revision>
  <cp:lastPrinted>2017-07-03T20:19:00Z</cp:lastPrinted>
  <dcterms:created xsi:type="dcterms:W3CDTF">2020-02-11T14:36:00Z</dcterms:created>
  <dcterms:modified xsi:type="dcterms:W3CDTF">2021-03-15T17:52:00Z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0x01010023CE0F5F8F1AC04BA35437387E67A39D</vt:lpwstr>
  </property>
</Properties>
</file>